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p>
    <w:p>
      <w:pPr>
        <w:jc w:val="center"/>
        <w:rPr>
          <w:b/>
          <w:bCs/>
          <w:sz w:val="52"/>
          <w:szCs w:val="52"/>
        </w:rPr>
      </w:pPr>
      <w:r>
        <w:rPr>
          <w:rFonts w:hint="eastAsia" w:ascii="宋体" w:hAnsi="宋体"/>
          <w:b/>
          <w:bCs/>
          <w:sz w:val="52"/>
          <w:szCs w:val="52"/>
        </w:rPr>
        <w:t>淮北市公共资源交易平台数据推送指导手册</w:t>
      </w:r>
    </w:p>
    <w:p>
      <w:pPr>
        <w:jc w:val="center"/>
        <w:rPr>
          <w:b/>
          <w:bCs/>
          <w:sz w:val="32"/>
          <w:szCs w:val="32"/>
        </w:rPr>
      </w:pPr>
      <w:r>
        <w:rPr>
          <w:rFonts w:hint="eastAsia"/>
          <w:b/>
          <w:bCs/>
          <w:sz w:val="32"/>
          <w:szCs w:val="32"/>
        </w:rPr>
        <w:t xml:space="preserve"> </w:t>
      </w:r>
    </w:p>
    <w:p>
      <w:pPr>
        <w:jc w:val="center"/>
        <w:rPr>
          <w:b/>
          <w:bCs/>
          <w:sz w:val="32"/>
          <w:szCs w:val="32"/>
        </w:rPr>
      </w:pPr>
    </w:p>
    <w:p>
      <w:pPr>
        <w:jc w:val="center"/>
        <w:rPr>
          <w:b/>
          <w:bCs/>
          <w:sz w:val="32"/>
          <w:szCs w:val="32"/>
        </w:rPr>
      </w:pPr>
      <w:r>
        <w:rPr>
          <w:rFonts w:hint="eastAsia"/>
          <w:b/>
          <w:bCs/>
          <w:sz w:val="32"/>
          <w:szCs w:val="32"/>
        </w:rPr>
        <w:t xml:space="preserve"> </w:t>
      </w:r>
    </w:p>
    <w:p>
      <w:pPr>
        <w:jc w:val="center"/>
        <w:rPr>
          <w:b/>
          <w:bCs/>
          <w:sz w:val="32"/>
          <w:szCs w:val="32"/>
        </w:rPr>
      </w:pPr>
      <w:r>
        <w:rPr>
          <w:rFonts w:hint="eastAsia"/>
          <w:b/>
          <w:bCs/>
          <w:sz w:val="32"/>
          <w:szCs w:val="32"/>
        </w:rPr>
        <w:t xml:space="preserve"> </w:t>
      </w:r>
    </w:p>
    <w:p>
      <w:pPr>
        <w:jc w:val="center"/>
        <w:rPr>
          <w:b/>
          <w:bCs/>
          <w:sz w:val="32"/>
          <w:szCs w:val="32"/>
        </w:rPr>
      </w:pPr>
      <w:r>
        <w:rPr>
          <w:rFonts w:hint="eastAsia"/>
          <w:b/>
          <w:bCs/>
          <w:sz w:val="32"/>
          <w:szCs w:val="32"/>
        </w:rPr>
        <w:t xml:space="preserve"> </w:t>
      </w:r>
    </w:p>
    <w:p>
      <w:pPr>
        <w:jc w:val="center"/>
        <w:rPr>
          <w:b/>
          <w:bCs/>
          <w:sz w:val="32"/>
          <w:szCs w:val="32"/>
        </w:rPr>
      </w:pPr>
      <w:r>
        <w:rPr>
          <w:rFonts w:hint="eastAsia"/>
          <w:b/>
          <w:bCs/>
          <w:sz w:val="32"/>
          <w:szCs w:val="32"/>
        </w:rPr>
        <w:t xml:space="preserve"> </w:t>
      </w:r>
    </w:p>
    <w:p>
      <w:pPr>
        <w:rPr>
          <w:b/>
          <w:bCs/>
          <w:sz w:val="32"/>
          <w:szCs w:val="32"/>
        </w:rPr>
      </w:pPr>
      <w:r>
        <w:rPr>
          <w:rFonts w:hint="eastAsia"/>
          <w:b/>
          <w:bCs/>
          <w:sz w:val="32"/>
          <w:szCs w:val="32"/>
        </w:rPr>
        <w:t xml:space="preserve"> </w:t>
      </w:r>
    </w:p>
    <w:p>
      <w:pPr>
        <w:jc w:val="center"/>
        <w:rPr>
          <w:b/>
          <w:bCs/>
          <w:sz w:val="32"/>
          <w:szCs w:val="32"/>
        </w:rPr>
      </w:pPr>
      <w:r>
        <w:rPr>
          <w:rFonts w:hint="eastAsia" w:ascii="宋体" w:hAnsi="宋体"/>
          <w:b/>
          <w:bCs/>
          <w:sz w:val="32"/>
          <w:szCs w:val="32"/>
        </w:rPr>
        <w:t>淮北市公共资源交易中心</w:t>
      </w:r>
    </w:p>
    <w:p>
      <w:pPr>
        <w:jc w:val="center"/>
        <w:rPr>
          <w:b/>
          <w:bCs/>
          <w:sz w:val="32"/>
          <w:szCs w:val="32"/>
        </w:rPr>
      </w:pPr>
      <w:r>
        <w:rPr>
          <w:rFonts w:hint="eastAsia"/>
          <w:b/>
          <w:bCs/>
          <w:sz w:val="32"/>
          <w:szCs w:val="32"/>
        </w:rPr>
        <w:t>2023</w:t>
      </w:r>
      <w:r>
        <w:rPr>
          <w:rFonts w:hint="eastAsia" w:ascii="宋体" w:hAnsi="宋体"/>
          <w:b/>
          <w:bCs/>
          <w:sz w:val="32"/>
          <w:szCs w:val="32"/>
        </w:rPr>
        <w:t>年</w:t>
      </w:r>
      <w:r>
        <w:rPr>
          <w:rFonts w:hint="eastAsia"/>
          <w:b/>
          <w:bCs/>
          <w:sz w:val="32"/>
          <w:szCs w:val="32"/>
        </w:rPr>
        <w:t>11</w:t>
      </w:r>
      <w:r>
        <w:rPr>
          <w:rFonts w:hint="eastAsia" w:ascii="宋体" w:hAnsi="宋体"/>
          <w:b/>
          <w:bCs/>
          <w:sz w:val="32"/>
          <w:szCs w:val="32"/>
        </w:rPr>
        <w:t>月</w:t>
      </w:r>
    </w:p>
    <w:p>
      <w:pPr>
        <w:jc w:val="center"/>
        <w:rPr>
          <w:b/>
          <w:bCs/>
          <w:sz w:val="32"/>
          <w:szCs w:val="32"/>
        </w:rPr>
      </w:pPr>
      <w:r>
        <w:rPr>
          <w:b/>
          <w:bCs/>
          <w:sz w:val="32"/>
          <w:szCs w:val="32"/>
        </w:rPr>
        <w:t xml:space="preserve"> </w:t>
      </w:r>
    </w:p>
    <w:sdt>
      <w:sdtPr>
        <w:id w:val="147479069"/>
        <w:docPartObj>
          <w:docPartGallery w:val="autotext"/>
        </w:docPartObj>
      </w:sdtPr>
      <w:sdtEndPr>
        <w:rPr>
          <w:rFonts w:hint="default"/>
          <w:color w:val="000000" w:themeColor="text1"/>
          <w:lang w:val="en-US"/>
          <w14:textFill>
            <w14:solidFill>
              <w14:schemeClr w14:val="tx1"/>
            </w14:solidFill>
          </w14:textFill>
        </w:rPr>
      </w:sdtEndPr>
      <w:sdtContent>
        <w:p>
          <w:pPr>
            <w:jc w:val="center"/>
          </w:pPr>
        </w:p>
        <w:p>
          <w:pPr>
            <w:jc w:val="center"/>
            <w:rPr>
              <w:rFonts w:hint="eastAsia" w:ascii="宋体" w:hAnsi="宋体"/>
              <w:b/>
              <w:bCs/>
              <w:sz w:val="28"/>
              <w:szCs w:val="28"/>
            </w:rPr>
            <w:sectPr>
              <w:pgSz w:w="16838" w:h="11906" w:orient="landscape"/>
              <w:pgMar w:top="1800" w:right="1440" w:bottom="1800" w:left="1440" w:header="851" w:footer="992" w:gutter="0"/>
              <w:cols w:space="720" w:num="1"/>
              <w:docGrid w:type="lines" w:linePitch="312" w:charSpace="0"/>
            </w:sectPr>
          </w:pPr>
        </w:p>
        <w:p>
          <w:pPr>
            <w:jc w:val="center"/>
            <w:rPr>
              <w:rFonts w:ascii="宋体" w:hAnsi="宋体"/>
              <w:b/>
              <w:bCs/>
              <w:sz w:val="28"/>
              <w:szCs w:val="28"/>
            </w:rPr>
          </w:pPr>
          <w:r>
            <w:rPr>
              <w:rFonts w:hint="eastAsia" w:ascii="宋体" w:hAnsi="宋体"/>
              <w:b/>
              <w:bCs/>
              <w:sz w:val="28"/>
              <w:szCs w:val="28"/>
            </w:rPr>
            <w:t>目  录</w:t>
          </w:r>
        </w:p>
        <w:p>
          <w:pPr>
            <w:pStyle w:val="6"/>
            <w:rPr>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"file:///C:\\Users\\Administrator\\AppData\\Local\\Microsoft\\Windows\\Temporary%20Internet%20Files\\Content.IE5\\H2KRWVY7\\CtG0UGVA2zmAKNHjAAD4yjDL4ho55%5b1%5d.docx" \l "_Toc19128 " </w:instrText>
          </w:r>
          <w:r>
            <w:rPr>
              <w:color w:val="000000" w:themeColor="text1"/>
              <w14:textFill>
                <w14:solidFill>
                  <w14:schemeClr w14:val="tx1"/>
                </w14:solidFill>
              </w14:textFill>
            </w:rPr>
            <w:fldChar w:fldCharType="separate"/>
          </w:r>
          <w:r>
            <w:rPr>
              <w:rStyle w:val="10"/>
              <w:rFonts w:hint="eastAsia" w:ascii="仿宋" w:hAnsi="仿宋" w:eastAsia="仿宋"/>
              <w:bCs/>
              <w:color w:val="000000" w:themeColor="text1"/>
              <w:sz w:val="28"/>
              <w:szCs w:val="28"/>
              <w14:textFill>
                <w14:solidFill>
                  <w14:schemeClr w14:val="tx1"/>
                </w14:solidFill>
              </w14:textFill>
            </w:rPr>
            <w:t>一、工程建设</w:t>
          </w:r>
          <w:r>
            <w:rPr>
              <w:rStyle w:val="10"/>
              <w:color w:val="000000" w:themeColor="text1"/>
              <w:sz w:val="28"/>
              <w:szCs w:val="28"/>
              <w14:textFill>
                <w14:solidFill>
                  <w14:schemeClr w14:val="tx1"/>
                </w14:solidFill>
              </w14:textFill>
            </w:rPr>
            <w:tab/>
          </w:r>
          <w:r>
            <w:rPr>
              <w:rStyle w:val="10"/>
              <w:color w:val="000000" w:themeColor="text1"/>
              <w:sz w:val="28"/>
              <w:szCs w:val="28"/>
              <w14:textFill>
                <w14:solidFill>
                  <w14:schemeClr w14:val="tx1"/>
                </w14:solidFill>
              </w14:textFill>
            </w:rPr>
            <w:fldChar w:fldCharType="begin"/>
          </w:r>
          <w:r>
            <w:rPr>
              <w:rStyle w:val="10"/>
              <w:color w:val="000000" w:themeColor="text1"/>
              <w:sz w:val="28"/>
              <w:szCs w:val="28"/>
              <w14:textFill>
                <w14:solidFill>
                  <w14:schemeClr w14:val="tx1"/>
                </w14:solidFill>
              </w14:textFill>
            </w:rPr>
            <w:instrText xml:space="preserve"> PAGEREF _Toc19128 \h </w:instrText>
          </w:r>
          <w:r>
            <w:rPr>
              <w:rStyle w:val="10"/>
              <w:color w:val="000000" w:themeColor="text1"/>
              <w:sz w:val="28"/>
              <w:szCs w:val="28"/>
              <w14:textFill>
                <w14:solidFill>
                  <w14:schemeClr w14:val="tx1"/>
                </w14:solidFill>
              </w14:textFill>
            </w:rPr>
            <w:fldChar w:fldCharType="separate"/>
          </w:r>
          <w:r>
            <w:rPr>
              <w:rStyle w:val="10"/>
              <w:color w:val="000000" w:themeColor="text1"/>
              <w:sz w:val="28"/>
              <w:szCs w:val="28"/>
              <w14:textFill>
                <w14:solidFill>
                  <w14:schemeClr w14:val="tx1"/>
                </w14:solidFill>
              </w14:textFill>
            </w:rPr>
            <w:t>1</w:t>
          </w:r>
          <w:r>
            <w:rPr>
              <w:rStyle w:val="10"/>
              <w:color w:val="000000" w:themeColor="text1"/>
              <w:sz w:val="28"/>
              <w:szCs w:val="28"/>
              <w14:textFill>
                <w14:solidFill>
                  <w14:schemeClr w14:val="tx1"/>
                </w14:solidFill>
              </w14:textFill>
            </w:rPr>
            <w:fldChar w:fldCharType="end"/>
          </w:r>
          <w:r>
            <w:rPr>
              <w:rStyle w:val="10"/>
              <w:color w:val="000000" w:themeColor="text1"/>
              <w:sz w:val="28"/>
              <w:szCs w:val="28"/>
              <w14:textFill>
                <w14:solidFill>
                  <w14:schemeClr w14:val="tx1"/>
                </w14:solidFill>
              </w14:textFill>
            </w:rPr>
            <w:fldChar w:fldCharType="end"/>
          </w:r>
        </w:p>
        <w:p>
          <w:pPr>
            <w:pStyle w:val="6"/>
            <w:rPr>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"file:///C:\\Users\\Administrator\\AppData\\Local\\Microsoft\\Windows\\Temporary%20Internet%20Files\\Content.IE5\\H2KRWVY7\\CtG0UGVA2zmAKNHjAAD4yjDL4ho55%5b1%5d.docx" \l "_Toc6104 " </w:instrText>
          </w:r>
          <w:r>
            <w:rPr>
              <w:color w:val="000000" w:themeColor="text1"/>
              <w14:textFill>
                <w14:solidFill>
                  <w14:schemeClr w14:val="tx1"/>
                </w14:solidFill>
              </w14:textFill>
            </w:rPr>
            <w:fldChar w:fldCharType="separate"/>
          </w:r>
          <w:r>
            <w:rPr>
              <w:rStyle w:val="10"/>
              <w:rFonts w:hint="eastAsia" w:ascii="仿宋" w:hAnsi="仿宋" w:eastAsia="仿宋"/>
              <w:bCs/>
              <w:color w:val="000000" w:themeColor="text1"/>
              <w:sz w:val="28"/>
              <w:szCs w:val="28"/>
              <w14:textFill>
                <w14:solidFill>
                  <w14:schemeClr w14:val="tx1"/>
                </w14:solidFill>
              </w14:textFill>
            </w:rPr>
            <w:t>二、政府采购</w:t>
          </w:r>
          <w:r>
            <w:rPr>
              <w:rStyle w:val="10"/>
              <w:color w:val="000000" w:themeColor="text1"/>
              <w:sz w:val="28"/>
              <w:szCs w:val="28"/>
              <w14:textFill>
                <w14:solidFill>
                  <w14:schemeClr w14:val="tx1"/>
                </w14:solidFill>
              </w14:textFill>
            </w:rPr>
            <w:tab/>
          </w:r>
          <w:r>
            <w:rPr>
              <w:rStyle w:val="10"/>
              <w:color w:val="000000" w:themeColor="text1"/>
              <w:sz w:val="28"/>
              <w:szCs w:val="28"/>
              <w14:textFill>
                <w14:solidFill>
                  <w14:schemeClr w14:val="tx1"/>
                </w14:solidFill>
              </w14:textFill>
            </w:rPr>
            <w:fldChar w:fldCharType="begin"/>
          </w:r>
          <w:r>
            <w:rPr>
              <w:rStyle w:val="10"/>
              <w:color w:val="000000" w:themeColor="text1"/>
              <w:sz w:val="28"/>
              <w:szCs w:val="28"/>
              <w14:textFill>
                <w14:solidFill>
                  <w14:schemeClr w14:val="tx1"/>
                </w14:solidFill>
              </w14:textFill>
            </w:rPr>
            <w:instrText xml:space="preserve"> PAGEREF _Toc6104 \h </w:instrText>
          </w:r>
          <w:r>
            <w:rPr>
              <w:rStyle w:val="10"/>
              <w:color w:val="000000" w:themeColor="text1"/>
              <w:sz w:val="28"/>
              <w:szCs w:val="28"/>
              <w14:textFill>
                <w14:solidFill>
                  <w14:schemeClr w14:val="tx1"/>
                </w14:solidFill>
              </w14:textFill>
            </w:rPr>
            <w:fldChar w:fldCharType="separate"/>
          </w:r>
          <w:r>
            <w:rPr>
              <w:rStyle w:val="10"/>
              <w:color w:val="000000" w:themeColor="text1"/>
              <w:sz w:val="28"/>
              <w:szCs w:val="28"/>
              <w14:textFill>
                <w14:solidFill>
                  <w14:schemeClr w14:val="tx1"/>
                </w14:solidFill>
              </w14:textFill>
            </w:rPr>
            <w:t>4</w:t>
          </w:r>
          <w:r>
            <w:rPr>
              <w:rStyle w:val="10"/>
              <w:color w:val="000000" w:themeColor="text1"/>
              <w:sz w:val="28"/>
              <w:szCs w:val="28"/>
              <w14:textFill>
                <w14:solidFill>
                  <w14:schemeClr w14:val="tx1"/>
                </w14:solidFill>
              </w14:textFill>
            </w:rPr>
            <w:fldChar w:fldCharType="end"/>
          </w:r>
          <w:r>
            <w:rPr>
              <w:rStyle w:val="10"/>
              <w:color w:val="000000" w:themeColor="text1"/>
              <w:sz w:val="28"/>
              <w:szCs w:val="28"/>
              <w14:textFill>
                <w14:solidFill>
                  <w14:schemeClr w14:val="tx1"/>
                </w14:solidFill>
              </w14:textFill>
            </w:rPr>
            <w:fldChar w:fldCharType="end"/>
          </w:r>
        </w:p>
        <w:p>
          <w:pPr>
            <w:pStyle w:val="6"/>
            <w:rPr>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"file:///C:\\Users\\Administrator\\AppData\\Local\\Microsoft\\Windows\\Temporary%20Internet%20Files\\Content.IE5\\H2KRWVY7\\CtG0UGVA2zmAKNHjAAD4yjDL4ho55%5b1%5d.docx" \l "_Toc13806 " </w:instrText>
          </w:r>
          <w:r>
            <w:rPr>
              <w:color w:val="000000" w:themeColor="text1"/>
              <w14:textFill>
                <w14:solidFill>
                  <w14:schemeClr w14:val="tx1"/>
                </w14:solidFill>
              </w14:textFill>
            </w:rPr>
            <w:fldChar w:fldCharType="separate"/>
          </w:r>
          <w:r>
            <w:rPr>
              <w:rStyle w:val="10"/>
              <w:rFonts w:hint="eastAsia" w:ascii="仿宋" w:hAnsi="仿宋" w:eastAsia="仿宋"/>
              <w:bCs/>
              <w:color w:val="000000" w:themeColor="text1"/>
              <w:sz w:val="28"/>
              <w:szCs w:val="28"/>
              <w14:textFill>
                <w14:solidFill>
                  <w14:schemeClr w14:val="tx1"/>
                </w14:solidFill>
              </w14:textFill>
            </w:rPr>
            <w:t>三、国有产权</w:t>
          </w:r>
          <w:r>
            <w:rPr>
              <w:rStyle w:val="10"/>
              <w:color w:val="000000" w:themeColor="text1"/>
              <w:sz w:val="28"/>
              <w:szCs w:val="28"/>
              <w14:textFill>
                <w14:solidFill>
                  <w14:schemeClr w14:val="tx1"/>
                </w14:solidFill>
              </w14:textFill>
            </w:rPr>
            <w:tab/>
          </w:r>
          <w:r>
            <w:rPr>
              <w:rStyle w:val="10"/>
              <w:color w:val="000000" w:themeColor="text1"/>
              <w:sz w:val="28"/>
              <w:szCs w:val="28"/>
              <w14:textFill>
                <w14:solidFill>
                  <w14:schemeClr w14:val="tx1"/>
                </w14:solidFill>
              </w14:textFill>
            </w:rPr>
            <w:fldChar w:fldCharType="begin"/>
          </w:r>
          <w:r>
            <w:rPr>
              <w:rStyle w:val="10"/>
              <w:color w:val="000000" w:themeColor="text1"/>
              <w:sz w:val="28"/>
              <w:szCs w:val="28"/>
              <w14:textFill>
                <w14:solidFill>
                  <w14:schemeClr w14:val="tx1"/>
                </w14:solidFill>
              </w14:textFill>
            </w:rPr>
            <w:instrText xml:space="preserve"> PAGEREF _Toc13806 \h </w:instrText>
          </w:r>
          <w:r>
            <w:rPr>
              <w:rStyle w:val="10"/>
              <w:color w:val="000000" w:themeColor="text1"/>
              <w:sz w:val="28"/>
              <w:szCs w:val="28"/>
              <w14:textFill>
                <w14:solidFill>
                  <w14:schemeClr w14:val="tx1"/>
                </w14:solidFill>
              </w14:textFill>
            </w:rPr>
            <w:fldChar w:fldCharType="separate"/>
          </w:r>
          <w:r>
            <w:rPr>
              <w:rStyle w:val="10"/>
              <w:color w:val="000000" w:themeColor="text1"/>
              <w:sz w:val="28"/>
              <w:szCs w:val="28"/>
              <w14:textFill>
                <w14:solidFill>
                  <w14:schemeClr w14:val="tx1"/>
                </w14:solidFill>
              </w14:textFill>
            </w:rPr>
            <w:t>5</w:t>
          </w:r>
          <w:r>
            <w:rPr>
              <w:rStyle w:val="10"/>
              <w:color w:val="000000" w:themeColor="text1"/>
              <w:sz w:val="28"/>
              <w:szCs w:val="28"/>
              <w14:textFill>
                <w14:solidFill>
                  <w14:schemeClr w14:val="tx1"/>
                </w14:solidFill>
              </w14:textFill>
            </w:rPr>
            <w:fldChar w:fldCharType="end"/>
          </w:r>
          <w:r>
            <w:rPr>
              <w:rStyle w:val="10"/>
              <w:color w:val="000000" w:themeColor="text1"/>
              <w:sz w:val="28"/>
              <w:szCs w:val="28"/>
              <w14:textFill>
                <w14:solidFill>
                  <w14:schemeClr w14:val="tx1"/>
                </w14:solidFill>
              </w14:textFill>
            </w:rPr>
            <w:fldChar w:fldCharType="end"/>
          </w:r>
        </w:p>
        <w:p>
          <w:pPr>
            <w:pStyle w:val="6"/>
            <w:rPr>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"file:///C:\\Users\\Administrator\\AppData\\Local\\Microsoft\\Windows\\Temporary%20Internet%20Files\\Content.IE5\\H2KRWVY7\\CtG0UGVA2zmAKNHjAAD4yjDL4ho55%5b1%5d.docx" \l "_Toc1653 " </w:instrText>
          </w:r>
          <w:r>
            <w:rPr>
              <w:color w:val="000000" w:themeColor="text1"/>
              <w14:textFill>
                <w14:solidFill>
                  <w14:schemeClr w14:val="tx1"/>
                </w14:solidFill>
              </w14:textFill>
            </w:rPr>
            <w:fldChar w:fldCharType="separate"/>
          </w:r>
          <w:r>
            <w:rPr>
              <w:rStyle w:val="10"/>
              <w:rFonts w:hint="eastAsia" w:ascii="仿宋" w:hAnsi="仿宋" w:eastAsia="仿宋"/>
              <w:bCs/>
              <w:color w:val="000000" w:themeColor="text1"/>
              <w:sz w:val="28"/>
              <w:szCs w:val="28"/>
              <w14:textFill>
                <w14:solidFill>
                  <w14:schemeClr w14:val="tx1"/>
                </w14:solidFill>
              </w14:textFill>
            </w:rPr>
            <w:t>四、国有建设用地使用权（矿业权）</w:t>
          </w:r>
          <w:r>
            <w:rPr>
              <w:rStyle w:val="10"/>
              <w:color w:val="000000" w:themeColor="text1"/>
              <w:sz w:val="28"/>
              <w:szCs w:val="28"/>
              <w14:textFill>
                <w14:solidFill>
                  <w14:schemeClr w14:val="tx1"/>
                </w14:solidFill>
              </w14:textFill>
            </w:rPr>
            <w:tab/>
          </w:r>
          <w:r>
            <w:rPr>
              <w:rStyle w:val="10"/>
              <w:rFonts w:hint="eastAsia"/>
              <w:color w:val="000000" w:themeColor="text1"/>
              <w:sz w:val="28"/>
              <w:szCs w:val="28"/>
              <w:lang w:val="en-US" w:eastAsia="zh-CN"/>
              <w14:textFill>
                <w14:solidFill>
                  <w14:schemeClr w14:val="tx1"/>
                </w14:solidFill>
              </w14:textFill>
            </w:rPr>
            <w:t>6</w:t>
          </w:r>
          <w:r>
            <w:rPr>
              <w:rStyle w:val="10"/>
              <w:color w:val="000000" w:themeColor="text1"/>
              <w:sz w:val="28"/>
              <w:szCs w:val="28"/>
              <w14:textFill>
                <w14:solidFill>
                  <w14:schemeClr w14:val="tx1"/>
                </w14:solidFill>
              </w14:textFill>
            </w:rPr>
            <w:fldChar w:fldCharType="end"/>
          </w:r>
        </w:p>
        <w:p>
          <w:pPr>
            <w:pStyle w:val="6"/>
            <w:rPr>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"file:///C:\\Users\\Administrator\\AppData\\Local\\Microsoft\\Windows\\Temporary%20Internet%20Files\\Content.IE5\\H2KRWVY7\\CtG0UGVA2zmAKNHjAAD4yjDL4ho55%5b1%5d.docx" \l "_Toc10062 " </w:instrText>
          </w:r>
          <w:r>
            <w:rPr>
              <w:color w:val="000000" w:themeColor="text1"/>
              <w14:textFill>
                <w14:solidFill>
                  <w14:schemeClr w14:val="tx1"/>
                </w14:solidFill>
              </w14:textFill>
            </w:rPr>
            <w:fldChar w:fldCharType="separate"/>
          </w:r>
          <w:r>
            <w:rPr>
              <w:rStyle w:val="10"/>
              <w:rFonts w:hint="eastAsia" w:ascii="仿宋" w:hAnsi="仿宋" w:eastAsia="仿宋"/>
              <w:bCs/>
              <w:color w:val="000000" w:themeColor="text1"/>
              <w:sz w:val="28"/>
              <w:szCs w:val="28"/>
              <w14:textFill>
                <w14:solidFill>
                  <w14:schemeClr w14:val="tx1"/>
                </w14:solidFill>
              </w14:textFill>
            </w:rPr>
            <w:t>五、其他项目交易</w:t>
          </w:r>
          <w:r>
            <w:rPr>
              <w:rStyle w:val="10"/>
              <w:color w:val="000000" w:themeColor="text1"/>
              <w:sz w:val="28"/>
              <w:szCs w:val="28"/>
              <w14:textFill>
                <w14:solidFill>
                  <w14:schemeClr w14:val="tx1"/>
                </w14:solidFill>
              </w14:textFill>
            </w:rPr>
            <w:tab/>
          </w:r>
          <w:r>
            <w:rPr>
              <w:rStyle w:val="10"/>
              <w:color w:val="000000" w:themeColor="text1"/>
              <w:sz w:val="28"/>
              <w:szCs w:val="28"/>
              <w14:textFill>
                <w14:solidFill>
                  <w14:schemeClr w14:val="tx1"/>
                </w14:solidFill>
              </w14:textFill>
            </w:rPr>
            <w:fldChar w:fldCharType="begin"/>
          </w:r>
          <w:r>
            <w:rPr>
              <w:rStyle w:val="10"/>
              <w:color w:val="000000" w:themeColor="text1"/>
              <w:sz w:val="28"/>
              <w:szCs w:val="28"/>
              <w14:textFill>
                <w14:solidFill>
                  <w14:schemeClr w14:val="tx1"/>
                </w14:solidFill>
              </w14:textFill>
            </w:rPr>
            <w:instrText xml:space="preserve"> PAGEREF _Toc10062 \h </w:instrText>
          </w:r>
          <w:r>
            <w:rPr>
              <w:rStyle w:val="10"/>
              <w:color w:val="000000" w:themeColor="text1"/>
              <w:sz w:val="28"/>
              <w:szCs w:val="28"/>
              <w14:textFill>
                <w14:solidFill>
                  <w14:schemeClr w14:val="tx1"/>
                </w14:solidFill>
              </w14:textFill>
            </w:rPr>
            <w:fldChar w:fldCharType="separate"/>
          </w:r>
          <w:r>
            <w:rPr>
              <w:rStyle w:val="10"/>
              <w:color w:val="000000" w:themeColor="text1"/>
              <w:sz w:val="28"/>
              <w:szCs w:val="28"/>
              <w14:textFill>
                <w14:solidFill>
                  <w14:schemeClr w14:val="tx1"/>
                </w14:solidFill>
              </w14:textFill>
            </w:rPr>
            <w:t>7</w:t>
          </w:r>
          <w:r>
            <w:rPr>
              <w:rStyle w:val="10"/>
              <w:color w:val="000000" w:themeColor="text1"/>
              <w:sz w:val="28"/>
              <w:szCs w:val="28"/>
              <w14:textFill>
                <w14:solidFill>
                  <w14:schemeClr w14:val="tx1"/>
                </w14:solidFill>
              </w14:textFill>
            </w:rPr>
            <w:fldChar w:fldCharType="end"/>
          </w:r>
          <w:r>
            <w:rPr>
              <w:rStyle w:val="10"/>
              <w:color w:val="000000" w:themeColor="text1"/>
              <w:sz w:val="28"/>
              <w:szCs w:val="28"/>
              <w14:textFill>
                <w14:solidFill>
                  <w14:schemeClr w14:val="tx1"/>
                </w14:solidFill>
              </w14:textFill>
            </w:rPr>
            <w:fldChar w:fldCharType="end"/>
          </w:r>
        </w:p>
        <w:p>
          <w:pPr>
            <w:pStyle w:val="6"/>
            <w:rPr>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"file:///C:\\Users\\Administrator\\AppData\\Local\\Microsoft\\Windows\\Temporary%20Internet%20Files\\Content.IE5\\H2KRWVY7\\CtG0UGVA2zmAKNHjAAD4yjDL4ho55%5b1%5d.docx" \l "_Toc9767 " </w:instrText>
          </w:r>
          <w:r>
            <w:rPr>
              <w:color w:val="000000" w:themeColor="text1"/>
              <w14:textFill>
                <w14:solidFill>
                  <w14:schemeClr w14:val="tx1"/>
                </w14:solidFill>
              </w14:textFill>
            </w:rPr>
            <w:fldChar w:fldCharType="separate"/>
          </w:r>
          <w:r>
            <w:rPr>
              <w:rStyle w:val="10"/>
              <w:rFonts w:hint="eastAsia" w:ascii="仿宋" w:hAnsi="仿宋" w:eastAsia="仿宋"/>
              <w:bCs/>
              <w:color w:val="000000" w:themeColor="text1"/>
              <w:sz w:val="28"/>
              <w:szCs w:val="28"/>
              <w14:textFill>
                <w14:solidFill>
                  <w14:schemeClr w14:val="tx1"/>
                </w14:solidFill>
              </w14:textFill>
            </w:rPr>
            <w:t>六、如何判断省级项目</w:t>
          </w:r>
          <w:r>
            <w:rPr>
              <w:rStyle w:val="10"/>
              <w:color w:val="000000" w:themeColor="text1"/>
              <w:sz w:val="28"/>
              <w:szCs w:val="28"/>
              <w14:textFill>
                <w14:solidFill>
                  <w14:schemeClr w14:val="tx1"/>
                </w14:solidFill>
              </w14:textFill>
            </w:rPr>
            <w:tab/>
          </w:r>
          <w:r>
            <w:rPr>
              <w:rStyle w:val="10"/>
              <w:color w:val="000000" w:themeColor="text1"/>
              <w:sz w:val="28"/>
              <w:szCs w:val="28"/>
              <w14:textFill>
                <w14:solidFill>
                  <w14:schemeClr w14:val="tx1"/>
                </w14:solidFill>
              </w14:textFill>
            </w:rPr>
            <w:fldChar w:fldCharType="begin"/>
          </w:r>
          <w:r>
            <w:rPr>
              <w:rStyle w:val="10"/>
              <w:color w:val="000000" w:themeColor="text1"/>
              <w:sz w:val="28"/>
              <w:szCs w:val="28"/>
              <w14:textFill>
                <w14:solidFill>
                  <w14:schemeClr w14:val="tx1"/>
                </w14:solidFill>
              </w14:textFill>
            </w:rPr>
            <w:instrText xml:space="preserve"> PAGEREF _Toc9767 \h </w:instrText>
          </w:r>
          <w:r>
            <w:rPr>
              <w:rStyle w:val="10"/>
              <w:color w:val="000000" w:themeColor="text1"/>
              <w:sz w:val="28"/>
              <w:szCs w:val="28"/>
              <w14:textFill>
                <w14:solidFill>
                  <w14:schemeClr w14:val="tx1"/>
                </w14:solidFill>
              </w14:textFill>
            </w:rPr>
            <w:fldChar w:fldCharType="separate"/>
          </w:r>
          <w:r>
            <w:rPr>
              <w:rStyle w:val="10"/>
              <w:color w:val="000000" w:themeColor="text1"/>
              <w:sz w:val="28"/>
              <w:szCs w:val="28"/>
              <w14:textFill>
                <w14:solidFill>
                  <w14:schemeClr w14:val="tx1"/>
                </w14:solidFill>
              </w14:textFill>
            </w:rPr>
            <w:t>1</w:t>
          </w:r>
          <w:r>
            <w:rPr>
              <w:rStyle w:val="10"/>
              <w:rFonts w:hint="eastAsia"/>
              <w:color w:val="000000" w:themeColor="text1"/>
              <w:sz w:val="28"/>
              <w:szCs w:val="28"/>
              <w:lang w:val="en-US" w:eastAsia="zh-CN"/>
              <w14:textFill>
                <w14:solidFill>
                  <w14:schemeClr w14:val="tx1"/>
                </w14:solidFill>
              </w14:textFill>
            </w:rPr>
            <w:t>0</w:t>
          </w:r>
          <w:r>
            <w:rPr>
              <w:rStyle w:val="10"/>
              <w:color w:val="000000" w:themeColor="text1"/>
              <w:sz w:val="28"/>
              <w:szCs w:val="28"/>
              <w14:textFill>
                <w14:solidFill>
                  <w14:schemeClr w14:val="tx1"/>
                </w14:solidFill>
              </w14:textFill>
            </w:rPr>
            <w:fldChar w:fldCharType="end"/>
          </w:r>
          <w:r>
            <w:rPr>
              <w:rStyle w:val="10"/>
              <w:color w:val="000000" w:themeColor="text1"/>
              <w:sz w:val="28"/>
              <w:szCs w:val="28"/>
              <w14:textFill>
                <w14:solidFill>
                  <w14:schemeClr w14:val="tx1"/>
                </w14:solidFill>
              </w14:textFill>
            </w:rPr>
            <w:fldChar w:fldCharType="end"/>
          </w:r>
        </w:p>
        <w:p>
          <w:pPr>
            <w:pStyle w:val="6"/>
            <w:rPr>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"file:///C:\\Users\\Administrator\\AppData\\Local\\Microsoft\\Windows\\Temporary%20Internet%20Files\\Content.IE5\\H2KRWVY7\\CtG0UGVA2zmAKNHjAAD4yjDL4ho55%5b1%5d.docx" \l "_Toc31582 " </w:instrText>
          </w:r>
          <w:r>
            <w:rPr>
              <w:color w:val="000000" w:themeColor="text1"/>
              <w14:textFill>
                <w14:solidFill>
                  <w14:schemeClr w14:val="tx1"/>
                </w14:solidFill>
              </w14:textFill>
            </w:rPr>
            <w:fldChar w:fldCharType="separate"/>
          </w:r>
          <w:r>
            <w:rPr>
              <w:rStyle w:val="10"/>
              <w:rFonts w:hint="eastAsia" w:ascii="仿宋" w:hAnsi="仿宋" w:eastAsia="仿宋"/>
              <w:bCs/>
              <w:color w:val="000000" w:themeColor="text1"/>
              <w:sz w:val="28"/>
              <w:szCs w:val="28"/>
              <w14:textFill>
                <w14:solidFill>
                  <w14:schemeClr w14:val="tx1"/>
                </w14:solidFill>
              </w14:textFill>
            </w:rPr>
            <w:t>七、注意事项</w:t>
          </w:r>
          <w:r>
            <w:rPr>
              <w:rStyle w:val="10"/>
              <w:color w:val="000000" w:themeColor="text1"/>
              <w:sz w:val="28"/>
              <w:szCs w:val="28"/>
              <w14:textFill>
                <w14:solidFill>
                  <w14:schemeClr w14:val="tx1"/>
                </w14:solidFill>
              </w14:textFill>
            </w:rPr>
            <w:tab/>
          </w:r>
          <w:r>
            <w:rPr>
              <w:rStyle w:val="10"/>
              <w:color w:val="000000" w:themeColor="text1"/>
              <w:sz w:val="28"/>
              <w:szCs w:val="28"/>
              <w14:textFill>
                <w14:solidFill>
                  <w14:schemeClr w14:val="tx1"/>
                </w14:solidFill>
              </w14:textFill>
            </w:rPr>
            <w:fldChar w:fldCharType="begin"/>
          </w:r>
          <w:r>
            <w:rPr>
              <w:rStyle w:val="10"/>
              <w:color w:val="000000" w:themeColor="text1"/>
              <w:sz w:val="28"/>
              <w:szCs w:val="28"/>
              <w14:textFill>
                <w14:solidFill>
                  <w14:schemeClr w14:val="tx1"/>
                </w14:solidFill>
              </w14:textFill>
            </w:rPr>
            <w:instrText xml:space="preserve"> PAGEREF _Toc31582 \h </w:instrText>
          </w:r>
          <w:r>
            <w:rPr>
              <w:rStyle w:val="10"/>
              <w:color w:val="000000" w:themeColor="text1"/>
              <w:sz w:val="28"/>
              <w:szCs w:val="28"/>
              <w14:textFill>
                <w14:solidFill>
                  <w14:schemeClr w14:val="tx1"/>
                </w14:solidFill>
              </w14:textFill>
            </w:rPr>
            <w:fldChar w:fldCharType="separate"/>
          </w:r>
          <w:r>
            <w:rPr>
              <w:rStyle w:val="10"/>
              <w:color w:val="000000" w:themeColor="text1"/>
              <w:sz w:val="28"/>
              <w:szCs w:val="28"/>
              <w14:textFill>
                <w14:solidFill>
                  <w14:schemeClr w14:val="tx1"/>
                </w14:solidFill>
              </w14:textFill>
            </w:rPr>
            <w:t>12</w:t>
          </w:r>
          <w:r>
            <w:rPr>
              <w:rStyle w:val="10"/>
              <w:color w:val="000000" w:themeColor="text1"/>
              <w:sz w:val="28"/>
              <w:szCs w:val="28"/>
              <w14:textFill>
                <w14:solidFill>
                  <w14:schemeClr w14:val="tx1"/>
                </w14:solidFill>
              </w14:textFill>
            </w:rPr>
            <w:fldChar w:fldCharType="end"/>
          </w:r>
          <w:r>
            <w:rPr>
              <w:rStyle w:val="10"/>
              <w:color w:val="000000" w:themeColor="text1"/>
              <w:sz w:val="28"/>
              <w:szCs w:val="28"/>
              <w14:textFill>
                <w14:solidFill>
                  <w14:schemeClr w14:val="tx1"/>
                </w14:solidFill>
              </w14:textFill>
            </w:rPr>
            <w:fldChar w:fldCharType="end"/>
          </w:r>
        </w:p>
        <w:p>
          <w:pPr>
            <w:pStyle w:val="6"/>
            <w:rPr>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"file:///C:\\Users\\Administrator\\AppData\\Local\\Microsoft\\Windows\\Temporary%20Internet%20Files\\Content.IE5\\H2KRWVY7\\CtG0UGVA2zmAKNHjAAD4yjDL4ho55%5b1%5d.docx" \l "_Toc25764 " </w:instrText>
          </w:r>
          <w:r>
            <w:rPr>
              <w:color w:val="000000" w:themeColor="text1"/>
              <w14:textFill>
                <w14:solidFill>
                  <w14:schemeClr w14:val="tx1"/>
                </w14:solidFill>
              </w14:textFill>
            </w:rPr>
            <w:fldChar w:fldCharType="separate"/>
          </w:r>
          <w:r>
            <w:rPr>
              <w:rStyle w:val="10"/>
              <w:rFonts w:ascii="楷体_GB2312" w:hAnsi="楷体_GB2312"/>
              <w:bCs/>
              <w:color w:val="000000" w:themeColor="text1"/>
              <w:sz w:val="28"/>
              <w:szCs w:val="28"/>
              <w14:textFill>
                <w14:solidFill>
                  <w14:schemeClr w14:val="tx1"/>
                </w14:solidFill>
              </w14:textFill>
            </w:rPr>
            <w:t>八、</w:t>
          </w:r>
          <w:r>
            <w:rPr>
              <w:rStyle w:val="10"/>
              <w:rFonts w:hint="eastAsia" w:ascii="楷体_GB2312" w:hAnsi="楷体_GB2312"/>
              <w:bCs/>
              <w:color w:val="000000" w:themeColor="text1"/>
              <w:sz w:val="28"/>
              <w:szCs w:val="28"/>
              <w14:textFill>
                <w14:solidFill>
                  <w14:schemeClr w14:val="tx1"/>
                </w14:solidFill>
              </w14:textFill>
            </w:rPr>
            <w:t>淮北</w:t>
          </w:r>
          <w:r>
            <w:rPr>
              <w:rStyle w:val="10"/>
              <w:rFonts w:ascii="楷体_GB2312" w:hAnsi="楷体_GB2312"/>
              <w:bCs/>
              <w:color w:val="000000" w:themeColor="text1"/>
              <w:sz w:val="28"/>
              <w:szCs w:val="28"/>
              <w14:textFill>
                <w14:solidFill>
                  <w14:schemeClr w14:val="tx1"/>
                </w14:solidFill>
              </w14:textFill>
            </w:rPr>
            <w:t>市公共资源交易平台建设工程板块数据录入注意事项</w:t>
          </w:r>
          <w:r>
            <w:rPr>
              <w:rStyle w:val="10"/>
              <w:color w:val="000000" w:themeColor="text1"/>
              <w:sz w:val="28"/>
              <w:szCs w:val="28"/>
              <w14:textFill>
                <w14:solidFill>
                  <w14:schemeClr w14:val="tx1"/>
                </w14:solidFill>
              </w14:textFill>
            </w:rPr>
            <w:tab/>
          </w:r>
          <w:r>
            <w:rPr>
              <w:rStyle w:val="10"/>
              <w:color w:val="000000" w:themeColor="text1"/>
              <w:sz w:val="28"/>
              <w:szCs w:val="28"/>
              <w14:textFill>
                <w14:solidFill>
                  <w14:schemeClr w14:val="tx1"/>
                </w14:solidFill>
              </w14:textFill>
            </w:rPr>
            <w:fldChar w:fldCharType="begin"/>
          </w:r>
          <w:r>
            <w:rPr>
              <w:rStyle w:val="10"/>
              <w:color w:val="000000" w:themeColor="text1"/>
              <w:sz w:val="28"/>
              <w:szCs w:val="28"/>
              <w14:textFill>
                <w14:solidFill>
                  <w14:schemeClr w14:val="tx1"/>
                </w14:solidFill>
              </w14:textFill>
            </w:rPr>
            <w:instrText xml:space="preserve"> PAGEREF _Toc25764 \h </w:instrText>
          </w:r>
          <w:r>
            <w:rPr>
              <w:rStyle w:val="10"/>
              <w:color w:val="000000" w:themeColor="text1"/>
              <w:sz w:val="28"/>
              <w:szCs w:val="28"/>
              <w14:textFill>
                <w14:solidFill>
                  <w14:schemeClr w14:val="tx1"/>
                </w14:solidFill>
              </w14:textFill>
            </w:rPr>
            <w:fldChar w:fldCharType="separate"/>
          </w:r>
          <w:r>
            <w:rPr>
              <w:rStyle w:val="10"/>
              <w:color w:val="000000" w:themeColor="text1"/>
              <w:sz w:val="28"/>
              <w:szCs w:val="28"/>
              <w14:textFill>
                <w14:solidFill>
                  <w14:schemeClr w14:val="tx1"/>
                </w14:solidFill>
              </w14:textFill>
            </w:rPr>
            <w:t>1</w:t>
          </w:r>
          <w:r>
            <w:rPr>
              <w:rStyle w:val="10"/>
              <w:rFonts w:hint="eastAsia"/>
              <w:color w:val="000000" w:themeColor="text1"/>
              <w:sz w:val="28"/>
              <w:szCs w:val="28"/>
              <w:lang w:val="en-US" w:eastAsia="zh-CN"/>
              <w14:textFill>
                <w14:solidFill>
                  <w14:schemeClr w14:val="tx1"/>
                </w14:solidFill>
              </w14:textFill>
            </w:rPr>
            <w:t>8</w:t>
          </w:r>
          <w:r>
            <w:rPr>
              <w:rStyle w:val="10"/>
              <w:color w:val="000000" w:themeColor="text1"/>
              <w:sz w:val="28"/>
              <w:szCs w:val="28"/>
              <w14:textFill>
                <w14:solidFill>
                  <w14:schemeClr w14:val="tx1"/>
                </w14:solidFill>
              </w14:textFill>
            </w:rPr>
            <w:fldChar w:fldCharType="end"/>
          </w:r>
          <w:r>
            <w:rPr>
              <w:rStyle w:val="10"/>
              <w:color w:val="000000" w:themeColor="text1"/>
              <w:sz w:val="28"/>
              <w:szCs w:val="28"/>
              <w14:textFill>
                <w14:solidFill>
                  <w14:schemeClr w14:val="tx1"/>
                </w14:solidFill>
              </w14:textFill>
            </w:rPr>
            <w:fldChar w:fldCharType="end"/>
          </w:r>
        </w:p>
        <w:p>
          <w:pPr>
            <w:pStyle w:val="6"/>
            <w:rPr>
              <w:rFonts w:hint="eastAsia" w:eastAsia="宋体"/>
              <w:color w:val="000000" w:themeColor="text1"/>
              <w:sz w:val="28"/>
              <w:szCs w:val="28"/>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"file:///C:\\Users\\Administrator\\AppData\\Local\\Microsoft\\Windows\\Temporary%20Internet%20Files\\Content.IE5\\H2KRWVY7\\CtG0UGVA2zmAKNHjAAD4yjDL4ho55%5b1%5d.docx" \l "_Toc4993 " </w:instrText>
          </w:r>
          <w:r>
            <w:rPr>
              <w:color w:val="000000" w:themeColor="text1"/>
              <w14:textFill>
                <w14:solidFill>
                  <w14:schemeClr w14:val="tx1"/>
                </w14:solidFill>
              </w14:textFill>
            </w:rPr>
            <w:fldChar w:fldCharType="separate"/>
          </w:r>
          <w:r>
            <w:rPr>
              <w:rStyle w:val="10"/>
              <w:rFonts w:ascii="楷体_GB2312" w:hAnsi="楷体_GB2312"/>
              <w:bCs/>
              <w:color w:val="000000" w:themeColor="text1"/>
              <w:sz w:val="28"/>
              <w:szCs w:val="28"/>
              <w14:textFill>
                <w14:solidFill>
                  <w14:schemeClr w14:val="tx1"/>
                </w14:solidFill>
              </w14:textFill>
            </w:rPr>
            <w:t>九、</w:t>
          </w:r>
          <w:r>
            <w:rPr>
              <w:rStyle w:val="10"/>
              <w:rFonts w:hint="eastAsia" w:ascii="楷体_GB2312" w:hAnsi="楷体_GB2312"/>
              <w:bCs/>
              <w:color w:val="000000" w:themeColor="text1"/>
              <w:sz w:val="28"/>
              <w:szCs w:val="28"/>
              <w14:textFill>
                <w14:solidFill>
                  <w14:schemeClr w14:val="tx1"/>
                </w14:solidFill>
              </w14:textFill>
            </w:rPr>
            <w:t>淮北</w:t>
          </w:r>
          <w:r>
            <w:rPr>
              <w:rStyle w:val="10"/>
              <w:rFonts w:ascii="楷体_GB2312" w:hAnsi="楷体_GB2312"/>
              <w:bCs/>
              <w:color w:val="000000" w:themeColor="text1"/>
              <w:sz w:val="28"/>
              <w:szCs w:val="28"/>
              <w14:textFill>
                <w14:solidFill>
                  <w14:schemeClr w14:val="tx1"/>
                </w14:solidFill>
              </w14:textFill>
            </w:rPr>
            <w:t>市公共资源交易平台政府采购板块数据录入注意事项</w:t>
          </w:r>
          <w:r>
            <w:rPr>
              <w:rStyle w:val="10"/>
              <w:color w:val="000000" w:themeColor="text1"/>
              <w:sz w:val="28"/>
              <w:szCs w:val="28"/>
              <w14:textFill>
                <w14:solidFill>
                  <w14:schemeClr w14:val="tx1"/>
                </w14:solidFill>
              </w14:textFill>
            </w:rPr>
            <w:tab/>
          </w:r>
          <w:r>
            <w:rPr>
              <w:rStyle w:val="10"/>
              <w:rFonts w:hint="eastAsia"/>
              <w:color w:val="000000" w:themeColor="text1"/>
              <w:sz w:val="28"/>
              <w:szCs w:val="28"/>
              <w:lang w:val="en-US" w:eastAsia="zh-CN"/>
              <w14:textFill>
                <w14:solidFill>
                  <w14:schemeClr w14:val="tx1"/>
                </w14:solidFill>
              </w14:textFill>
            </w:rPr>
            <w:t>2</w:t>
          </w:r>
          <w:r>
            <w:rPr>
              <w:rStyle w:val="10"/>
              <w:color w:val="000000" w:themeColor="text1"/>
              <w:sz w:val="28"/>
              <w:szCs w:val="28"/>
              <w14:textFill>
                <w14:solidFill>
                  <w14:schemeClr w14:val="tx1"/>
                </w14:solidFill>
              </w14:textFill>
            </w:rPr>
            <w:fldChar w:fldCharType="end"/>
          </w:r>
          <w:r>
            <w:rPr>
              <w:rStyle w:val="10"/>
              <w:rFonts w:hint="eastAsia"/>
              <w:color w:val="000000" w:themeColor="text1"/>
              <w:sz w:val="28"/>
              <w:szCs w:val="28"/>
              <w:lang w:val="en-US" w:eastAsia="zh-CN"/>
              <w14:textFill>
                <w14:solidFill>
                  <w14:schemeClr w14:val="tx1"/>
                </w14:solidFill>
              </w14:textFill>
            </w:rPr>
            <w:t>5</w:t>
          </w:r>
        </w:p>
        <w:p>
          <w:pPr>
            <w:pStyle w:val="6"/>
            <w:rPr>
              <w:rFonts w:hint="eastAsia" w:eastAsia="宋体"/>
              <w:color w:val="000000" w:themeColor="text1"/>
              <w:sz w:val="28"/>
              <w:szCs w:val="28"/>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"file:///C:\\Users\\Administrator\\AppData\\Local\\Microsoft\\Windows\\Temporary%20Internet%20Files\\Content.IE5\\H2KRWVY7\\CtG0UGVA2zmAKNHjAAD4yjDL4ho55%5b1%5d.docx" \l "_Toc5772 " </w:instrText>
          </w:r>
          <w:r>
            <w:rPr>
              <w:color w:val="000000" w:themeColor="text1"/>
              <w14:textFill>
                <w14:solidFill>
                  <w14:schemeClr w14:val="tx1"/>
                </w14:solidFill>
              </w14:textFill>
            </w:rPr>
            <w:fldChar w:fldCharType="separate"/>
          </w:r>
          <w:r>
            <w:rPr>
              <w:rStyle w:val="10"/>
              <w:rFonts w:ascii="楷体_GB2312" w:hAnsi="楷体_GB2312"/>
              <w:bCs/>
              <w:color w:val="000000" w:themeColor="text1"/>
              <w:sz w:val="28"/>
              <w:szCs w:val="28"/>
              <w14:textFill>
                <w14:solidFill>
                  <w14:schemeClr w14:val="tx1"/>
                </w14:solidFill>
              </w14:textFill>
            </w:rPr>
            <w:t>十、</w:t>
          </w:r>
          <w:r>
            <w:rPr>
              <w:rStyle w:val="10"/>
              <w:rFonts w:hint="eastAsia" w:ascii="楷体_GB2312" w:hAnsi="楷体_GB2312"/>
              <w:bCs/>
              <w:color w:val="000000" w:themeColor="text1"/>
              <w:sz w:val="28"/>
              <w:szCs w:val="28"/>
              <w14:textFill>
                <w14:solidFill>
                  <w14:schemeClr w14:val="tx1"/>
                </w14:solidFill>
              </w14:textFill>
            </w:rPr>
            <w:t>淮北</w:t>
          </w:r>
          <w:r>
            <w:rPr>
              <w:rStyle w:val="10"/>
              <w:rFonts w:ascii="楷体_GB2312" w:hAnsi="楷体_GB2312"/>
              <w:bCs/>
              <w:color w:val="000000" w:themeColor="text1"/>
              <w:sz w:val="28"/>
              <w:szCs w:val="28"/>
              <w14:textFill>
                <w14:solidFill>
                  <w14:schemeClr w14:val="tx1"/>
                </w14:solidFill>
              </w14:textFill>
            </w:rPr>
            <w:t>市公共资源交易平台产权交易板块数据录入注意事项</w:t>
          </w:r>
          <w:r>
            <w:rPr>
              <w:rStyle w:val="10"/>
              <w:color w:val="000000" w:themeColor="text1"/>
              <w:sz w:val="28"/>
              <w:szCs w:val="28"/>
              <w14:textFill>
                <w14:solidFill>
                  <w14:schemeClr w14:val="tx1"/>
                </w14:solidFill>
              </w14:textFill>
            </w:rPr>
            <w:tab/>
          </w:r>
          <w:r>
            <w:rPr>
              <w:rStyle w:val="10"/>
              <w:rFonts w:hint="eastAsia"/>
              <w:color w:val="000000" w:themeColor="text1"/>
              <w:sz w:val="28"/>
              <w:szCs w:val="28"/>
              <w:lang w:val="en-US" w:eastAsia="zh-CN"/>
              <w14:textFill>
                <w14:solidFill>
                  <w14:schemeClr w14:val="tx1"/>
                </w14:solidFill>
              </w14:textFill>
            </w:rPr>
            <w:t>3</w:t>
          </w:r>
          <w:r>
            <w:rPr>
              <w:rStyle w:val="10"/>
              <w:color w:val="000000" w:themeColor="text1"/>
              <w:sz w:val="28"/>
              <w:szCs w:val="28"/>
              <w14:textFill>
                <w14:solidFill>
                  <w14:schemeClr w14:val="tx1"/>
                </w14:solidFill>
              </w14:textFill>
            </w:rPr>
            <w:fldChar w:fldCharType="end"/>
          </w:r>
          <w:r>
            <w:rPr>
              <w:rStyle w:val="10"/>
              <w:rFonts w:hint="eastAsia"/>
              <w:color w:val="000000" w:themeColor="text1"/>
              <w:sz w:val="28"/>
              <w:szCs w:val="28"/>
              <w:lang w:val="en-US" w:eastAsia="zh-CN"/>
              <w14:textFill>
                <w14:solidFill>
                  <w14:schemeClr w14:val="tx1"/>
                </w14:solidFill>
              </w14:textFill>
            </w:rPr>
            <w:t>1</w:t>
          </w:r>
        </w:p>
        <w:p>
          <w:pPr>
            <w:pStyle w:val="6"/>
            <w:rPr>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"file:///C:\\Users\\Administrator\\AppData\\Local\\Microsoft\\Windows\\Temporary%20Internet%20Files\\Content.IE5\\H2KRWVY7\\CtG0UGVA2zmAKNHjAAD4yjDL4ho55%5b1%5d.docx" \l "_Toc12155 " </w:instrText>
          </w:r>
          <w:r>
            <w:rPr>
              <w:color w:val="000000" w:themeColor="text1"/>
              <w14:textFill>
                <w14:solidFill>
                  <w14:schemeClr w14:val="tx1"/>
                </w14:solidFill>
              </w14:textFill>
            </w:rPr>
            <w:fldChar w:fldCharType="separate"/>
          </w:r>
          <w:r>
            <w:rPr>
              <w:rStyle w:val="10"/>
              <w:rFonts w:ascii="楷体_GB2312" w:hAnsi="楷体_GB2312"/>
              <w:bCs/>
              <w:color w:val="000000" w:themeColor="text1"/>
              <w:sz w:val="28"/>
              <w:szCs w:val="28"/>
              <w14:textFill>
                <w14:solidFill>
                  <w14:schemeClr w14:val="tx1"/>
                </w14:solidFill>
              </w14:textFill>
            </w:rPr>
            <w:t>十一、</w:t>
          </w:r>
          <w:r>
            <w:rPr>
              <w:rStyle w:val="10"/>
              <w:rFonts w:hint="eastAsia" w:ascii="楷体_GB2312" w:hAnsi="楷体_GB2312"/>
              <w:bCs/>
              <w:color w:val="000000" w:themeColor="text1"/>
              <w:sz w:val="28"/>
              <w:szCs w:val="28"/>
              <w14:textFill>
                <w14:solidFill>
                  <w14:schemeClr w14:val="tx1"/>
                </w14:solidFill>
              </w14:textFill>
            </w:rPr>
            <w:t>淮北</w:t>
          </w:r>
          <w:r>
            <w:rPr>
              <w:rStyle w:val="10"/>
              <w:rFonts w:ascii="楷体_GB2312" w:hAnsi="楷体_GB2312"/>
              <w:bCs/>
              <w:color w:val="000000" w:themeColor="text1"/>
              <w:sz w:val="28"/>
              <w:szCs w:val="28"/>
              <w14:textFill>
                <w14:solidFill>
                  <w14:schemeClr w14:val="tx1"/>
                </w14:solidFill>
              </w14:textFill>
            </w:rPr>
            <w:t>市公共资源交易平台土地（矿业权）交易板块数据录入注意事项</w:t>
          </w:r>
          <w:r>
            <w:rPr>
              <w:rStyle w:val="10"/>
              <w:color w:val="000000" w:themeColor="text1"/>
              <w:sz w:val="28"/>
              <w:szCs w:val="28"/>
              <w14:textFill>
                <w14:solidFill>
                  <w14:schemeClr w14:val="tx1"/>
                </w14:solidFill>
              </w14:textFill>
            </w:rPr>
            <w:tab/>
          </w:r>
          <w:r>
            <w:rPr>
              <w:rStyle w:val="10"/>
              <w:color w:val="000000" w:themeColor="text1"/>
              <w:sz w:val="28"/>
              <w:szCs w:val="28"/>
              <w14:textFill>
                <w14:solidFill>
                  <w14:schemeClr w14:val="tx1"/>
                </w14:solidFill>
              </w14:textFill>
            </w:rPr>
            <w:fldChar w:fldCharType="begin"/>
          </w:r>
          <w:r>
            <w:rPr>
              <w:rStyle w:val="10"/>
              <w:color w:val="000000" w:themeColor="text1"/>
              <w:sz w:val="28"/>
              <w:szCs w:val="28"/>
              <w14:textFill>
                <w14:solidFill>
                  <w14:schemeClr w14:val="tx1"/>
                </w14:solidFill>
              </w14:textFill>
            </w:rPr>
            <w:instrText xml:space="preserve"> PAGEREF _Toc12155 \h </w:instrText>
          </w:r>
          <w:r>
            <w:rPr>
              <w:rStyle w:val="10"/>
              <w:color w:val="000000" w:themeColor="text1"/>
              <w:sz w:val="28"/>
              <w:szCs w:val="28"/>
              <w14:textFill>
                <w14:solidFill>
                  <w14:schemeClr w14:val="tx1"/>
                </w14:solidFill>
              </w14:textFill>
            </w:rPr>
            <w:fldChar w:fldCharType="separate"/>
          </w:r>
          <w:r>
            <w:rPr>
              <w:rStyle w:val="10"/>
              <w:rFonts w:hint="eastAsia"/>
              <w:color w:val="000000" w:themeColor="text1"/>
              <w:sz w:val="28"/>
              <w:szCs w:val="28"/>
              <w:lang w:val="en-US" w:eastAsia="zh-CN"/>
              <w14:textFill>
                <w14:solidFill>
                  <w14:schemeClr w14:val="tx1"/>
                </w14:solidFill>
              </w14:textFill>
            </w:rPr>
            <w:t>34</w:t>
          </w:r>
          <w:r>
            <w:rPr>
              <w:rStyle w:val="10"/>
              <w:color w:val="000000" w:themeColor="text1"/>
              <w:sz w:val="28"/>
              <w:szCs w:val="28"/>
              <w14:textFill>
                <w14:solidFill>
                  <w14:schemeClr w14:val="tx1"/>
                </w14:solidFill>
              </w14:textFill>
            </w:rPr>
            <w:fldChar w:fldCharType="end"/>
          </w:r>
          <w:r>
            <w:rPr>
              <w:rStyle w:val="10"/>
              <w:color w:val="000000" w:themeColor="text1"/>
              <w:sz w:val="28"/>
              <w:szCs w:val="28"/>
              <w14:textFill>
                <w14:solidFill>
                  <w14:schemeClr w14:val="tx1"/>
                </w14:solidFill>
              </w14:textFill>
            </w:rPr>
            <w:fldChar w:fldCharType="end"/>
          </w:r>
        </w:p>
        <w:p>
          <w:pPr>
            <w:pStyle w:val="6"/>
            <w:rPr>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"file:///C:\\Users\\Administrator\\AppData\\Local\\Microsoft\\Windows\\Temporary%20Internet%20Files\\Content.IE5\\H2KRWVY7\\CtG0UGVA2zmAKNHjAAD4yjDL4ho55%5b1%5d.docx" \l "_Toc6815 " </w:instrText>
          </w:r>
          <w:r>
            <w:rPr>
              <w:color w:val="000000" w:themeColor="text1"/>
              <w14:textFill>
                <w14:solidFill>
                  <w14:schemeClr w14:val="tx1"/>
                </w14:solidFill>
              </w14:textFill>
            </w:rPr>
            <w:fldChar w:fldCharType="separate"/>
          </w:r>
          <w:r>
            <w:rPr>
              <w:rStyle w:val="10"/>
              <w:rFonts w:ascii="楷体_GB2312" w:hAnsi="楷体_GB2312"/>
              <w:bCs/>
              <w:color w:val="000000" w:themeColor="text1"/>
              <w:sz w:val="28"/>
              <w:szCs w:val="28"/>
              <w14:textFill>
                <w14:solidFill>
                  <w14:schemeClr w14:val="tx1"/>
                </w14:solidFill>
              </w14:textFill>
            </w:rPr>
            <w:t>十</w:t>
          </w:r>
          <w:r>
            <w:rPr>
              <w:rStyle w:val="10"/>
              <w:rFonts w:hint="eastAsia" w:ascii="楷体_GB2312" w:hAnsi="楷体_GB2312"/>
              <w:bCs/>
              <w:color w:val="000000" w:themeColor="text1"/>
              <w:sz w:val="28"/>
              <w:szCs w:val="28"/>
              <w14:textFill>
                <w14:solidFill>
                  <w14:schemeClr w14:val="tx1"/>
                </w14:solidFill>
              </w14:textFill>
            </w:rPr>
            <w:t>二</w:t>
          </w:r>
          <w:r>
            <w:rPr>
              <w:rStyle w:val="10"/>
              <w:rFonts w:ascii="楷体_GB2312" w:hAnsi="楷体_GB2312"/>
              <w:bCs/>
              <w:color w:val="000000" w:themeColor="text1"/>
              <w:sz w:val="28"/>
              <w:szCs w:val="28"/>
              <w14:textFill>
                <w14:solidFill>
                  <w14:schemeClr w14:val="tx1"/>
                </w14:solidFill>
              </w14:textFill>
            </w:rPr>
            <w:t>、</w:t>
          </w:r>
          <w:r>
            <w:rPr>
              <w:rStyle w:val="10"/>
              <w:rFonts w:hint="eastAsia" w:ascii="楷体_GB2312" w:hAnsi="楷体_GB2312"/>
              <w:bCs/>
              <w:color w:val="000000" w:themeColor="text1"/>
              <w:sz w:val="28"/>
              <w:szCs w:val="28"/>
              <w14:textFill>
                <w14:solidFill>
                  <w14:schemeClr w14:val="tx1"/>
                </w14:solidFill>
              </w14:textFill>
            </w:rPr>
            <w:t>淮北</w:t>
          </w:r>
          <w:r>
            <w:rPr>
              <w:rStyle w:val="10"/>
              <w:rFonts w:ascii="楷体_GB2312" w:hAnsi="楷体_GB2312"/>
              <w:bCs/>
              <w:color w:val="000000" w:themeColor="text1"/>
              <w:sz w:val="28"/>
              <w:szCs w:val="28"/>
              <w14:textFill>
                <w14:solidFill>
                  <w14:schemeClr w14:val="tx1"/>
                </w14:solidFill>
              </w14:textFill>
            </w:rPr>
            <w:t>市公共资源交易平台自主交易板块数据录入注意事项</w:t>
          </w:r>
          <w:r>
            <w:rPr>
              <w:rStyle w:val="10"/>
              <w:color w:val="000000" w:themeColor="text1"/>
              <w:sz w:val="28"/>
              <w:szCs w:val="28"/>
              <w14:textFill>
                <w14:solidFill>
                  <w14:schemeClr w14:val="tx1"/>
                </w14:solidFill>
              </w14:textFill>
            </w:rPr>
            <w:tab/>
          </w:r>
          <w:r>
            <w:rPr>
              <w:rStyle w:val="10"/>
              <w:color w:val="000000" w:themeColor="text1"/>
              <w:sz w:val="28"/>
              <w:szCs w:val="28"/>
              <w14:textFill>
                <w14:solidFill>
                  <w14:schemeClr w14:val="tx1"/>
                </w14:solidFill>
              </w14:textFill>
            </w:rPr>
            <w:fldChar w:fldCharType="end"/>
          </w:r>
          <w:r>
            <w:rPr>
              <w:rStyle w:val="10"/>
              <w:rFonts w:hint="eastAsia"/>
              <w:color w:val="000000" w:themeColor="text1"/>
              <w:sz w:val="28"/>
              <w:szCs w:val="28"/>
              <w:lang w:val="en-US" w:eastAsia="zh-CN"/>
              <w14:textFill>
                <w14:solidFill>
                  <w14:schemeClr w14:val="tx1"/>
                </w14:solidFill>
              </w14:textFill>
            </w:rPr>
            <w:t xml:space="preserve">  37</w:t>
          </w:r>
        </w:p>
      </w:sdtContent>
    </w:sdt>
    <w:p>
      <w:pPr>
        <w:widowControl/>
        <w:jc w:val="left"/>
        <w:rPr>
          <w:rFonts w:ascii="仿宋" w:hAnsi="仿宋" w:eastAsia="仿宋" w:cs="宋体"/>
          <w:b/>
          <w:bCs/>
          <w:color w:val="000000" w:themeColor="text1"/>
          <w:sz w:val="32"/>
          <w:szCs w:val="32"/>
          <w14:textFill>
            <w14:solidFill>
              <w14:schemeClr w14:val="tx1"/>
            </w14:solidFill>
          </w14:textFill>
        </w:rPr>
        <w:sectPr>
          <w:footerReference r:id="rId3" w:type="default"/>
          <w:pgSz w:w="16838" w:h="11906" w:orient="landscape"/>
          <w:pgMar w:top="1800" w:right="1440" w:bottom="1800" w:left="1440" w:header="851" w:footer="992" w:gutter="0"/>
          <w:pgNumType w:start="1"/>
          <w:cols w:space="720" w:num="1"/>
          <w:docGrid w:type="lines" w:linePitch="312" w:charSpace="0"/>
        </w:sectPr>
      </w:pPr>
    </w:p>
    <w:p>
      <w:pPr>
        <w:ind w:firstLine="643" w:firstLineChars="200"/>
        <w:outlineLvl w:val="0"/>
        <w:rPr>
          <w:rFonts w:ascii="仿宋" w:hAnsi="仿宋" w:eastAsia="仿宋"/>
          <w:b/>
          <w:bCs/>
          <w:sz w:val="32"/>
          <w:szCs w:val="32"/>
        </w:rPr>
      </w:pPr>
      <w:bookmarkStart w:id="0" w:name="_Toc19128"/>
      <w:bookmarkEnd w:id="0"/>
      <w:r>
        <w:rPr>
          <w:rFonts w:hint="eastAsia" w:ascii="仿宋" w:hAnsi="仿宋" w:eastAsia="仿宋"/>
          <w:b/>
          <w:bCs/>
          <w:sz w:val="32"/>
          <w:szCs w:val="32"/>
        </w:rPr>
        <w:t>一、工程建设</w:t>
      </w:r>
    </w:p>
    <w:p>
      <w:pPr>
        <w:ind w:firstLine="640" w:firstLineChars="200"/>
        <w:rPr>
          <w:rFonts w:ascii="仿宋" w:hAnsi="仿宋" w:eastAsia="仿宋"/>
          <w:sz w:val="32"/>
          <w:szCs w:val="32"/>
        </w:rPr>
      </w:pPr>
      <w:r>
        <w:rPr>
          <w:rFonts w:hint="eastAsia" w:ascii="仿宋" w:hAnsi="仿宋" w:eastAsia="仿宋"/>
          <w:sz w:val="32"/>
          <w:szCs w:val="32"/>
        </w:rPr>
        <w:t>1、根据《中华人民共和国招标投标法》及其实施条例</w:t>
      </w:r>
      <w:r>
        <w:rPr>
          <w:rFonts w:hint="eastAsia" w:ascii="仿宋" w:hAnsi="仿宋" w:eastAsia="仿宋"/>
          <w:color w:val="000000"/>
          <w:sz w:val="32"/>
          <w:szCs w:val="32"/>
        </w:rPr>
        <w:t>相关规定</w:t>
      </w:r>
      <w:r>
        <w:rPr>
          <w:rFonts w:hint="eastAsia" w:ascii="仿宋" w:hAnsi="仿宋" w:eastAsia="仿宋"/>
          <w:color w:val="0000FF"/>
          <w:sz w:val="32"/>
          <w:szCs w:val="32"/>
        </w:rPr>
        <w:t>，</w:t>
      </w:r>
      <w:r>
        <w:rPr>
          <w:rFonts w:hint="eastAsia" w:ascii="仿宋" w:hAnsi="仿宋" w:eastAsia="仿宋"/>
          <w:sz w:val="32"/>
          <w:szCs w:val="32"/>
        </w:rPr>
        <w:t>工程建设项目是指工程（包括建筑物和构筑物的新建、改建、扩建及其相关的装修、拆除、修缮等）以及与工程建设有关（不可分割的组成部分，且为实现工程基本功能所必需的）的货物和服务。</w:t>
      </w:r>
    </w:p>
    <w:p>
      <w:pPr>
        <w:ind w:firstLine="640" w:firstLineChars="200"/>
        <w:rPr>
          <w:rFonts w:ascii="仿宋" w:hAnsi="仿宋" w:eastAsia="仿宋"/>
          <w:sz w:val="32"/>
          <w:szCs w:val="32"/>
        </w:rPr>
      </w:pPr>
      <w:r>
        <w:rPr>
          <w:rFonts w:hint="eastAsia" w:ascii="仿宋" w:hAnsi="仿宋" w:eastAsia="仿宋"/>
          <w:sz w:val="32"/>
          <w:szCs w:val="32"/>
        </w:rPr>
        <w:t>2、按照《中华人民共和国政府采购法》及其实施条例相关规定，与建筑物和构筑物新建、改建、扩建无关，单独的装修、拆除、修缮等，属于政府采购法调整范围，一般应采用政府采购方式归集到政府采购，采用公开招标和邀请招标方式的需要到淮北市公共资源交易平台的建设工程板块进交易，采用非招标方式的归集到其他交易Z14(即公开招标和政府采购限额标准以下工程项目)。</w:t>
      </w:r>
    </w:p>
    <w:p>
      <w:pPr>
        <w:ind w:firstLine="640" w:firstLineChars="200"/>
        <w:rPr>
          <w:rFonts w:ascii="仿宋" w:hAnsi="仿宋" w:eastAsia="仿宋"/>
          <w:sz w:val="32"/>
          <w:szCs w:val="32"/>
        </w:rPr>
      </w:pPr>
      <w:r>
        <w:rPr>
          <w:rFonts w:hint="eastAsia" w:ascii="仿宋" w:hAnsi="仿宋" w:eastAsia="仿宋"/>
          <w:sz w:val="32"/>
          <w:szCs w:val="32"/>
        </w:rPr>
        <w:t>3、智能化工程：依据住房城乡建设部发布的《智能建筑设计标准》中，关于信息化应用系统、智能化集成系统、信息设施系统、建筑设备管理系统、公共安全系统、应急响应系统、机房工程等七类项目的涵义和内容，可以到淮北市公共资源交易平台的建设工程板块进交易。</w:t>
      </w:r>
    </w:p>
    <w:p>
      <w:pPr>
        <w:ind w:firstLine="640" w:firstLineChars="200"/>
        <w:rPr>
          <w:rFonts w:ascii="仿宋" w:hAnsi="仿宋" w:eastAsia="仿宋"/>
          <w:sz w:val="32"/>
          <w:szCs w:val="32"/>
        </w:rPr>
      </w:pPr>
      <w:r>
        <w:rPr>
          <w:rFonts w:hint="eastAsia" w:ascii="仿宋" w:hAnsi="仿宋" w:eastAsia="仿宋"/>
          <w:sz w:val="32"/>
          <w:szCs w:val="32"/>
        </w:rPr>
        <w:t>4、按照《国家发改委关于建设工程中的施工图审查、造价咨询、第三方监测等服务是否属于依法必须招标项目范围的答复》，施工图审查、造价咨询、第三方检测服务不在16号令的列举规定之列，不属于必须招标的项目，但涉及政府采购的，按照政府采购法律法规规定执行。此类项目不属于必须招标的项目，但在实际操作中如有采用公开招标和邀请招标的依然到淮北市公共资源交易平台的建设工程板块进交易，涉及政府采购的到淮北市公共资源交易平台的政府采购板块进行交易，</w:t>
      </w:r>
      <w:r>
        <w:rPr>
          <w:rFonts w:ascii="仿宋_GB2312" w:hAnsi="Times New Roman" w:eastAsia="仿宋_GB2312"/>
          <w:sz w:val="32"/>
          <w:szCs w:val="32"/>
        </w:rPr>
        <w:t>采用非招标方式的归集到其他交易</w:t>
      </w:r>
      <w:r>
        <w:rPr>
          <w:rFonts w:ascii="Times New Roman" w:hAnsi="Times New Roman" w:eastAsia="仿宋_GB2312"/>
          <w:sz w:val="32"/>
          <w:szCs w:val="32"/>
        </w:rPr>
        <w:t>Z14</w:t>
      </w:r>
      <w:r>
        <w:rPr>
          <w:rFonts w:hint="eastAsia" w:ascii="仿宋" w:hAnsi="仿宋" w:eastAsia="仿宋"/>
          <w:sz w:val="32"/>
          <w:szCs w:val="32"/>
        </w:rPr>
        <w:t>(即公开招标和政府采购限额标准以下工程项目)。</w:t>
      </w:r>
    </w:p>
    <w:p>
      <w:pPr>
        <w:ind w:firstLine="640" w:firstLineChars="200"/>
        <w:rPr>
          <w:rFonts w:ascii="仿宋" w:hAnsi="仿宋" w:eastAsia="仿宋"/>
          <w:sz w:val="32"/>
          <w:szCs w:val="32"/>
        </w:rPr>
      </w:pPr>
      <w:r>
        <w:rPr>
          <w:rFonts w:hint="eastAsia" w:ascii="仿宋" w:hAnsi="仿宋" w:eastAsia="仿宋"/>
          <w:sz w:val="32"/>
          <w:szCs w:val="32"/>
        </w:rPr>
        <w:t>5、工程项目类型</w:t>
      </w:r>
    </w:p>
    <w:p>
      <w:pPr>
        <w:ind w:firstLine="640" w:firstLineChars="200"/>
        <w:rPr>
          <w:rFonts w:ascii="仿宋" w:hAnsi="仿宋" w:eastAsia="仿宋"/>
          <w:sz w:val="32"/>
          <w:szCs w:val="32"/>
        </w:rPr>
      </w:pPr>
      <w:r>
        <w:rPr>
          <w:rFonts w:hint="eastAsia" w:ascii="仿宋" w:hAnsi="仿宋" w:eastAsia="仿宋"/>
          <w:sz w:val="32"/>
          <w:szCs w:val="32"/>
        </w:rPr>
        <w:t>（1）房屋建筑：包括各类房屋建筑及其附属设施和与其配套的线路、管道、设备安装工程及室内外装修工程。</w:t>
      </w:r>
    </w:p>
    <w:p>
      <w:pPr>
        <w:ind w:firstLine="640" w:firstLineChars="200"/>
        <w:rPr>
          <w:rFonts w:ascii="仿宋" w:hAnsi="仿宋" w:eastAsia="仿宋"/>
          <w:sz w:val="32"/>
          <w:szCs w:val="32"/>
        </w:rPr>
      </w:pPr>
      <w:r>
        <w:rPr>
          <w:rFonts w:hint="eastAsia" w:ascii="仿宋" w:hAnsi="仿宋" w:eastAsia="仿宋"/>
          <w:sz w:val="32"/>
          <w:szCs w:val="32"/>
        </w:rPr>
        <w:t>（2）市政工程：包括城市道路、公共交通、供水、排水、燃气、热力、园林、环卫、污水处理、垃圾处理、防洪、地下公共设施及附属设施的土建、管道、设备安装工程。</w:t>
      </w:r>
    </w:p>
    <w:p>
      <w:pPr>
        <w:ind w:firstLine="640" w:firstLineChars="200"/>
        <w:rPr>
          <w:rFonts w:ascii="仿宋" w:hAnsi="仿宋" w:eastAsia="仿宋"/>
          <w:sz w:val="32"/>
          <w:szCs w:val="32"/>
        </w:rPr>
      </w:pPr>
      <w:r>
        <w:rPr>
          <w:rFonts w:hint="eastAsia" w:ascii="仿宋" w:hAnsi="仿宋" w:eastAsia="仿宋"/>
          <w:sz w:val="32"/>
          <w:szCs w:val="32"/>
        </w:rPr>
        <w:t>（3）公路：包括公路路基、路面、公路桥梁、公路隧道、公路机电、公路交通安全设施、绿化、养护和农村公路等。</w:t>
      </w:r>
    </w:p>
    <w:p>
      <w:pPr>
        <w:ind w:firstLine="640" w:firstLineChars="200"/>
        <w:rPr>
          <w:rFonts w:ascii="仿宋" w:hAnsi="仿宋" w:eastAsia="仿宋"/>
          <w:sz w:val="32"/>
          <w:szCs w:val="32"/>
        </w:rPr>
      </w:pPr>
      <w:r>
        <w:rPr>
          <w:rFonts w:hint="eastAsia" w:ascii="仿宋" w:hAnsi="仿宋" w:eastAsia="仿宋"/>
          <w:sz w:val="32"/>
          <w:szCs w:val="32"/>
        </w:rPr>
        <w:t>（4）铁路：包括铁路路基、铁路桥梁、铁路隧道、信号工程、电气化工程、场站工程等。</w:t>
      </w:r>
    </w:p>
    <w:p>
      <w:pPr>
        <w:ind w:firstLine="640" w:firstLineChars="200"/>
        <w:rPr>
          <w:rFonts w:ascii="仿宋" w:hAnsi="仿宋" w:eastAsia="仿宋"/>
          <w:sz w:val="32"/>
          <w:szCs w:val="32"/>
        </w:rPr>
      </w:pPr>
      <w:r>
        <w:rPr>
          <w:rFonts w:hint="eastAsia" w:ascii="仿宋" w:hAnsi="仿宋" w:eastAsia="仿宋"/>
          <w:sz w:val="32"/>
          <w:szCs w:val="32"/>
        </w:rPr>
        <w:t>（5）民航：包括机场场道、目视助航、机电系统等。</w:t>
      </w:r>
    </w:p>
    <w:p>
      <w:pPr>
        <w:ind w:firstLine="640" w:firstLineChars="200"/>
        <w:rPr>
          <w:rFonts w:ascii="仿宋" w:hAnsi="仿宋" w:eastAsia="仿宋"/>
          <w:sz w:val="32"/>
          <w:szCs w:val="32"/>
        </w:rPr>
      </w:pPr>
      <w:r>
        <w:rPr>
          <w:rFonts w:hint="eastAsia" w:ascii="仿宋" w:hAnsi="仿宋" w:eastAsia="仿宋"/>
          <w:sz w:val="32"/>
          <w:szCs w:val="32"/>
        </w:rPr>
        <w:t xml:space="preserve">（6）水运：包括港口工程、航道整治、航道疏浚、航运枢纽、过船建筑物、修造船水工建筑物等及其附属建筑物和设施的新建、改建、扩建及其相关的装修、拆除、修缮等  </w:t>
      </w:r>
    </w:p>
    <w:p>
      <w:pPr>
        <w:ind w:firstLine="640" w:firstLineChars="200"/>
        <w:rPr>
          <w:rFonts w:ascii="仿宋" w:hAnsi="仿宋" w:eastAsia="仿宋"/>
          <w:sz w:val="32"/>
          <w:szCs w:val="32"/>
        </w:rPr>
      </w:pPr>
      <w:r>
        <w:rPr>
          <w:rFonts w:hint="eastAsia" w:ascii="仿宋" w:hAnsi="仿宋" w:eastAsia="仿宋"/>
          <w:sz w:val="32"/>
          <w:szCs w:val="32"/>
        </w:rPr>
        <w:t>（7）水利：包括防洪、灌溉、排涝、引（供）水、滩涂治理、水土保持、水利枢纽等。</w:t>
      </w:r>
    </w:p>
    <w:p>
      <w:pPr>
        <w:ind w:firstLine="640" w:firstLineChars="200"/>
        <w:rPr>
          <w:rFonts w:ascii="仿宋" w:hAnsi="仿宋" w:eastAsia="仿宋"/>
          <w:sz w:val="32"/>
          <w:szCs w:val="32"/>
        </w:rPr>
      </w:pPr>
      <w:r>
        <w:rPr>
          <w:rFonts w:hint="eastAsia" w:ascii="仿宋" w:hAnsi="仿宋" w:eastAsia="仿宋"/>
          <w:sz w:val="32"/>
          <w:szCs w:val="32"/>
        </w:rPr>
        <w:t>（8）能源：包括煤炭、石油、天然气、电力、新能源等。</w:t>
      </w:r>
    </w:p>
    <w:p>
      <w:pPr>
        <w:ind w:firstLine="640" w:firstLineChars="200"/>
        <w:rPr>
          <w:rFonts w:ascii="仿宋" w:hAnsi="仿宋" w:eastAsia="仿宋"/>
          <w:sz w:val="32"/>
          <w:szCs w:val="32"/>
        </w:rPr>
      </w:pPr>
      <w:r>
        <w:rPr>
          <w:rFonts w:hint="eastAsia" w:ascii="仿宋" w:hAnsi="仿宋" w:eastAsia="仿宋"/>
          <w:sz w:val="32"/>
          <w:szCs w:val="32"/>
        </w:rPr>
        <w:t>（9）邮电通信：包括邮政、电信枢纽、通信、信息网络等。</w:t>
      </w:r>
    </w:p>
    <w:p>
      <w:pPr>
        <w:ind w:firstLine="640" w:firstLineChars="200"/>
        <w:rPr>
          <w:rFonts w:ascii="仿宋" w:hAnsi="仿宋" w:eastAsia="仿宋"/>
          <w:sz w:val="32"/>
          <w:szCs w:val="32"/>
        </w:rPr>
      </w:pPr>
      <w:r>
        <w:rPr>
          <w:rFonts w:hint="eastAsia" w:ascii="仿宋" w:hAnsi="仿宋" w:eastAsia="仿宋"/>
          <w:sz w:val="32"/>
          <w:szCs w:val="32"/>
        </w:rPr>
        <w:t>（10）其他：包括高标准农田（含设计、施工、监理等）、矿山修复、生态环境治理等。</w:t>
      </w:r>
    </w:p>
    <w:p>
      <w:pPr>
        <w:ind w:firstLine="640" w:firstLineChars="200"/>
        <w:rPr>
          <w:rFonts w:ascii="仿宋" w:hAnsi="仿宋" w:eastAsia="仿宋"/>
          <w:sz w:val="32"/>
          <w:szCs w:val="32"/>
        </w:rPr>
      </w:pPr>
      <w:r>
        <w:rPr>
          <w:rFonts w:hint="eastAsia" w:ascii="仿宋" w:hAnsi="仿宋" w:eastAsia="仿宋"/>
          <w:sz w:val="32"/>
          <w:szCs w:val="32"/>
        </w:rPr>
        <w:t>6、投资主体性质</w:t>
      </w:r>
    </w:p>
    <w:p>
      <w:pPr>
        <w:ind w:firstLine="640" w:firstLineChars="200"/>
        <w:rPr>
          <w:rFonts w:ascii="仿宋" w:hAnsi="仿宋" w:eastAsia="仿宋"/>
          <w:sz w:val="32"/>
          <w:szCs w:val="32"/>
        </w:rPr>
      </w:pPr>
      <w:r>
        <w:rPr>
          <w:rFonts w:hint="eastAsia" w:ascii="仿宋" w:hAnsi="仿宋" w:eastAsia="仿宋"/>
          <w:sz w:val="32"/>
          <w:szCs w:val="32"/>
        </w:rPr>
        <w:t>招标人是一个的情况下，工程项目受理投资主体性质选择中，选择“政府”选项的条件是：招标人是政府部门（包括国家机关、事业单位和团体组织），资金性质是财政性资金；选择“企业”选项的条件是：招标人是国有企业，资金性质是企业自筹资金；选择“其他”选项的条件是：招标人和资金不一致选其他,如招标人是政府部门，资金性质是企业自筹资金或者招标人是国有企业，资金性质是财政性资金（企业自筹+财政性资金）。</w:t>
      </w:r>
    </w:p>
    <w:p>
      <w:pPr>
        <w:ind w:firstLine="640" w:firstLineChars="200"/>
        <w:outlineLvl w:val="0"/>
        <w:rPr>
          <w:rFonts w:ascii="仿宋" w:hAnsi="仿宋" w:eastAsia="仿宋"/>
          <w:sz w:val="32"/>
          <w:szCs w:val="32"/>
        </w:rPr>
      </w:pPr>
      <w:bookmarkStart w:id="1" w:name="_Toc3303"/>
      <w:bookmarkEnd w:id="1"/>
      <w:r>
        <w:rPr>
          <w:rFonts w:hint="eastAsia" w:ascii="仿宋" w:hAnsi="仿宋" w:eastAsia="仿宋"/>
          <w:sz w:val="32"/>
          <w:szCs w:val="32"/>
        </w:rPr>
        <w:t>招标人是多个的情况下，工程项目受理投资主体性质选择中，如果招标人是政府部门和国有企业组成，资金是企业自筹资金，这种情况下投资主体性质是选企业。如果招标人是政府部门和国有企业组成，资金是政府性资金或者政策性银行贷款资金或者贴息贷款资金，这种情况下投资主体性质是选政府。</w:t>
      </w:r>
    </w:p>
    <w:p>
      <w:pPr>
        <w:ind w:firstLine="643" w:firstLineChars="200"/>
        <w:outlineLvl w:val="0"/>
        <w:rPr>
          <w:rFonts w:ascii="仿宋" w:hAnsi="仿宋" w:eastAsia="仿宋"/>
          <w:b/>
          <w:bCs/>
          <w:sz w:val="32"/>
          <w:szCs w:val="32"/>
        </w:rPr>
      </w:pPr>
      <w:bookmarkStart w:id="2" w:name="_Toc6104"/>
      <w:bookmarkEnd w:id="2"/>
      <w:r>
        <w:rPr>
          <w:rFonts w:hint="eastAsia" w:ascii="仿宋" w:hAnsi="仿宋" w:eastAsia="仿宋"/>
          <w:b/>
          <w:bCs/>
          <w:sz w:val="32"/>
          <w:szCs w:val="32"/>
        </w:rPr>
        <w:t>二、政府采购</w:t>
      </w:r>
    </w:p>
    <w:p>
      <w:pPr>
        <w:ind w:firstLine="640" w:firstLineChars="200"/>
        <w:rPr>
          <w:rFonts w:ascii="仿宋" w:hAnsi="仿宋" w:eastAsia="仿宋"/>
          <w:sz w:val="32"/>
          <w:szCs w:val="32"/>
        </w:rPr>
      </w:pPr>
      <w:r>
        <w:rPr>
          <w:rFonts w:hint="eastAsia" w:ascii="仿宋" w:hAnsi="仿宋" w:eastAsia="仿宋"/>
          <w:sz w:val="32"/>
          <w:szCs w:val="32"/>
        </w:rPr>
        <w:t>1、政府采购项目严格按照《政府采购法》及其实施条例里所规定的三要素（即各级国家机关、事业单位和团体组织，使用财政性资金采购依法制定的集中采购目录以内或者采购限额标准以上的货物、工程和服务）来判断，只要符合该三要素的项目，都应到我市公共资源交易平台的政府采购板块交易。</w:t>
      </w:r>
    </w:p>
    <w:p>
      <w:pPr>
        <w:ind w:firstLine="640" w:firstLineChars="200"/>
        <w:rPr>
          <w:rFonts w:ascii="仿宋" w:hAnsi="仿宋" w:eastAsia="仿宋"/>
          <w:sz w:val="32"/>
          <w:szCs w:val="32"/>
        </w:rPr>
      </w:pPr>
      <w:r>
        <w:rPr>
          <w:rFonts w:hint="eastAsia" w:ascii="仿宋" w:hAnsi="仿宋" w:eastAsia="仿宋"/>
          <w:sz w:val="32"/>
          <w:szCs w:val="32"/>
        </w:rPr>
        <w:t>2、医院药械采购类项目，采购资金属于财政性资金的按照政府采购项目推送，不属于财政性资金的按照药械采购的分类代码医疗器械采购或者药品采购推送到其他交易，即在我市公共资源交易平台政府采购板块进行项目注册时，是否其他交易项目选择“是”，采购项目类型选择“医疗器械采购或者药品采购”。</w:t>
      </w:r>
    </w:p>
    <w:p>
      <w:pPr>
        <w:ind w:firstLine="640" w:firstLineChars="200"/>
        <w:outlineLvl w:val="0"/>
        <w:rPr>
          <w:rFonts w:ascii="仿宋" w:hAnsi="仿宋" w:eastAsia="仿宋"/>
          <w:sz w:val="32"/>
          <w:szCs w:val="32"/>
        </w:rPr>
      </w:pPr>
      <w:bookmarkStart w:id="3" w:name="_Toc4605"/>
      <w:bookmarkEnd w:id="3"/>
      <w:r>
        <w:rPr>
          <w:rFonts w:hint="eastAsia" w:ascii="仿宋" w:hAnsi="仿宋" w:eastAsia="仿宋"/>
          <w:sz w:val="32"/>
          <w:szCs w:val="32"/>
        </w:rPr>
        <w:t>3、不满足政府采购三要素（即各级国家机关、事业单位和团体组织，使用财政性资金采购依法制定的集中采购目录以内或者采购限额标准以上的货物、工程和服务）的</w:t>
      </w:r>
      <w:r>
        <w:rPr>
          <w:rFonts w:hint="eastAsia" w:ascii="仿宋" w:hAnsi="仿宋" w:eastAsia="仿宋"/>
          <w:color w:val="000000"/>
          <w:sz w:val="32"/>
          <w:szCs w:val="32"/>
        </w:rPr>
        <w:t>其他项</w:t>
      </w:r>
      <w:r>
        <w:rPr>
          <w:rFonts w:hint="eastAsia" w:ascii="仿宋" w:hAnsi="仿宋" w:eastAsia="仿宋"/>
          <w:sz w:val="32"/>
          <w:szCs w:val="32"/>
        </w:rPr>
        <w:t>目，在我市公共资源交易平台政府采购板块</w:t>
      </w:r>
      <w:r>
        <w:rPr>
          <w:rFonts w:hint="eastAsia" w:ascii="仿宋" w:hAnsi="仿宋" w:eastAsia="仿宋"/>
          <w:color w:val="000000"/>
          <w:sz w:val="32"/>
          <w:szCs w:val="32"/>
        </w:rPr>
        <w:t>进行</w:t>
      </w:r>
      <w:r>
        <w:rPr>
          <w:rFonts w:hint="eastAsia" w:ascii="仿宋" w:hAnsi="仿宋" w:eastAsia="仿宋"/>
          <w:sz w:val="32"/>
          <w:szCs w:val="32"/>
        </w:rPr>
        <w:t>项目注册时，是否其他交易项目选择“是”，采购项目类型选择“其他”。若有采购单位是个人独资企业或村集体经济组织，使用资金是</w:t>
      </w:r>
      <w:r>
        <w:rPr>
          <w:rFonts w:hint="eastAsia" w:ascii="仿宋_GB2312" w:hAnsi="方正仿宋_GBK" w:eastAsia="仿宋_GB2312" w:cs="方正仿宋_GBK"/>
          <w:sz w:val="32"/>
          <w:szCs w:val="32"/>
        </w:rPr>
        <w:t>由采购单位先行支付，后期财政奖补的项目，</w:t>
      </w:r>
      <w:r>
        <w:rPr>
          <w:rFonts w:hint="eastAsia" w:ascii="仿宋" w:hAnsi="仿宋" w:eastAsia="仿宋"/>
          <w:sz w:val="32"/>
          <w:szCs w:val="32"/>
        </w:rPr>
        <w:t>是否其他交易项目选择“是”，采购项目类型选择“其他”。</w:t>
      </w:r>
    </w:p>
    <w:p>
      <w:pPr>
        <w:ind w:firstLine="640" w:firstLineChars="200"/>
        <w:outlineLvl w:val="0"/>
        <w:rPr>
          <w:rFonts w:ascii="仿宋" w:hAnsi="仿宋" w:eastAsia="仿宋"/>
          <w:sz w:val="32"/>
          <w:szCs w:val="32"/>
        </w:rPr>
      </w:pPr>
      <w:bookmarkStart w:id="4" w:name="_Toc25684"/>
      <w:bookmarkEnd w:id="4"/>
      <w:r>
        <w:rPr>
          <w:rFonts w:hint="eastAsia" w:ascii="仿宋" w:hAnsi="仿宋" w:eastAsia="仿宋"/>
          <w:sz w:val="32"/>
          <w:szCs w:val="32"/>
        </w:rPr>
        <w:t>4、采购单位是国有企业，项目是工程施工，采用的方式是竞争性谈判等非招标方式，在采购板块进行注册时，是否其他交易项目选择“是”，采购项目类型选择“国有企业招标采购”，不要选择“公开招标和政府采购限额标准以下工程项目”选项。采购项目是多个采购人的情况下，若采购单位是国有企业和政府部门组织，资金是企业自筹，在采购板块进行注册时，是否其他交易项目选择“是”，采购项目类型选择“国有企业招标采购”。</w:t>
      </w:r>
    </w:p>
    <w:p>
      <w:pPr>
        <w:ind w:firstLine="643" w:firstLineChars="200"/>
        <w:outlineLvl w:val="0"/>
        <w:rPr>
          <w:rFonts w:ascii="仿宋" w:hAnsi="仿宋" w:eastAsia="仿宋"/>
          <w:b/>
          <w:bCs/>
          <w:sz w:val="32"/>
          <w:szCs w:val="32"/>
        </w:rPr>
      </w:pPr>
      <w:bookmarkStart w:id="5" w:name="_Toc13806"/>
      <w:bookmarkEnd w:id="5"/>
      <w:r>
        <w:rPr>
          <w:rFonts w:hint="eastAsia" w:ascii="仿宋" w:hAnsi="仿宋" w:eastAsia="仿宋"/>
          <w:b/>
          <w:bCs/>
          <w:sz w:val="32"/>
          <w:szCs w:val="32"/>
        </w:rPr>
        <w:t>三、国有产权</w:t>
      </w:r>
    </w:p>
    <w:p>
      <w:pPr>
        <w:ind w:firstLine="640" w:firstLineChars="200"/>
        <w:rPr>
          <w:rFonts w:ascii="仿宋" w:hAnsi="仿宋" w:eastAsia="仿宋"/>
          <w:sz w:val="32"/>
          <w:szCs w:val="32"/>
        </w:rPr>
      </w:pPr>
      <w:r>
        <w:rPr>
          <w:rFonts w:hint="eastAsia" w:ascii="仿宋" w:hAnsi="仿宋" w:eastAsia="仿宋"/>
          <w:sz w:val="32"/>
          <w:szCs w:val="32"/>
        </w:rPr>
        <w:t>1、存量堆放的砂石、风化的渣石，以及施工过程中产生的砂石资源，资产类型选择其他资产；</w:t>
      </w:r>
    </w:p>
    <w:p>
      <w:pPr>
        <w:ind w:firstLine="640" w:firstLineChars="200"/>
        <w:rPr>
          <w:rFonts w:ascii="仿宋" w:hAnsi="仿宋" w:eastAsia="仿宋"/>
          <w:sz w:val="32"/>
          <w:szCs w:val="32"/>
        </w:rPr>
      </w:pPr>
      <w:r>
        <w:rPr>
          <w:rFonts w:hint="eastAsia" w:ascii="仿宋" w:hAnsi="仿宋" w:eastAsia="仿宋"/>
          <w:sz w:val="32"/>
          <w:szCs w:val="32"/>
        </w:rPr>
        <w:t>2、房屋等拆除权转让，资产类型选择其他资产；</w:t>
      </w:r>
    </w:p>
    <w:p>
      <w:pPr>
        <w:ind w:firstLine="640" w:firstLineChars="200"/>
        <w:rPr>
          <w:rFonts w:ascii="仿宋" w:hAnsi="仿宋" w:eastAsia="仿宋"/>
          <w:sz w:val="32"/>
          <w:szCs w:val="32"/>
        </w:rPr>
      </w:pPr>
      <w:r>
        <w:rPr>
          <w:rFonts w:hint="eastAsia" w:ascii="仿宋" w:hAnsi="仿宋" w:eastAsia="仿宋"/>
          <w:sz w:val="32"/>
          <w:szCs w:val="32"/>
        </w:rPr>
        <w:t>3、房屋租赁，食堂、超市经营权等属于国有产权项目，应在产权板块进行交易，资产类型选择其他资产。</w:t>
      </w:r>
    </w:p>
    <w:p>
      <w:pPr>
        <w:ind w:firstLine="640" w:firstLineChars="200"/>
        <w:rPr>
          <w:rFonts w:ascii="仿宋" w:hAnsi="仿宋" w:eastAsia="仿宋"/>
          <w:sz w:val="32"/>
          <w:szCs w:val="32"/>
        </w:rPr>
      </w:pPr>
      <w:r>
        <w:rPr>
          <w:rFonts w:hint="eastAsia" w:ascii="仿宋" w:hAnsi="仿宋" w:eastAsia="仿宋"/>
          <w:sz w:val="32"/>
          <w:szCs w:val="32"/>
        </w:rPr>
        <w:t>4、转让方是行政事业单位的情况下，产权交易分类选择:行政事业单位产权交易；转让方是国有企业的情况下，产权交易分类选择:国有及国有控股企业产权交易；转让方是国有金融企业的情况下，产权交易分类选择:金融企业国有资产转让交易。</w:t>
      </w:r>
    </w:p>
    <w:p>
      <w:pPr>
        <w:ind w:firstLine="640" w:firstLineChars="200"/>
        <w:rPr>
          <w:rFonts w:ascii="仿宋" w:hAnsi="仿宋" w:eastAsia="仿宋"/>
          <w:sz w:val="32"/>
          <w:szCs w:val="32"/>
        </w:rPr>
      </w:pPr>
      <w:r>
        <w:rPr>
          <w:rFonts w:hint="eastAsia" w:ascii="仿宋" w:hAnsi="仿宋" w:eastAsia="仿宋"/>
          <w:sz w:val="32"/>
          <w:szCs w:val="32"/>
        </w:rPr>
        <w:t>5、股权交易的项目，产权类别应该选择股权资产转让类；非股权交易的项目，产权类别应该选择非股权资产转让类。</w:t>
      </w:r>
    </w:p>
    <w:p>
      <w:pPr>
        <w:ind w:firstLine="643" w:firstLineChars="200"/>
        <w:outlineLvl w:val="0"/>
        <w:rPr>
          <w:rFonts w:ascii="仿宋" w:hAnsi="仿宋" w:eastAsia="仿宋"/>
          <w:b/>
          <w:bCs/>
          <w:sz w:val="32"/>
          <w:szCs w:val="32"/>
        </w:rPr>
      </w:pPr>
      <w:bookmarkStart w:id="6" w:name="_Toc1653"/>
      <w:bookmarkEnd w:id="6"/>
      <w:r>
        <w:rPr>
          <w:rFonts w:hint="eastAsia" w:ascii="仿宋" w:hAnsi="仿宋" w:eastAsia="仿宋"/>
          <w:b/>
          <w:bCs/>
          <w:sz w:val="32"/>
          <w:szCs w:val="32"/>
        </w:rPr>
        <w:t>四、国有建设用地使用权（矿业权）</w:t>
      </w:r>
    </w:p>
    <w:p>
      <w:pPr>
        <w:ind w:firstLine="640" w:firstLineChars="200"/>
        <w:rPr>
          <w:rFonts w:ascii="仿宋" w:hAnsi="仿宋" w:eastAsia="仿宋"/>
          <w:sz w:val="32"/>
          <w:szCs w:val="32"/>
        </w:rPr>
      </w:pPr>
      <w:r>
        <w:rPr>
          <w:rFonts w:hint="eastAsia" w:ascii="仿宋" w:hAnsi="仿宋" w:eastAsia="仿宋"/>
          <w:sz w:val="32"/>
          <w:szCs w:val="32"/>
        </w:rPr>
        <w:t>1、土地面积用途应完整规范填写。</w:t>
      </w:r>
    </w:p>
    <w:p>
      <w:pPr>
        <w:ind w:firstLine="640" w:firstLineChars="200"/>
        <w:rPr>
          <w:rFonts w:ascii="仿宋" w:hAnsi="仿宋" w:eastAsia="仿宋"/>
          <w:sz w:val="32"/>
          <w:szCs w:val="32"/>
        </w:rPr>
      </w:pPr>
      <w:r>
        <w:rPr>
          <w:rFonts w:hint="eastAsia" w:ascii="仿宋" w:hAnsi="仿宋" w:eastAsia="仿宋"/>
          <w:sz w:val="32"/>
          <w:szCs w:val="32"/>
        </w:rPr>
        <w:t>2、土地项目编号要编复杂一些，可以在开头加上各县（市）的区划代码，以免项目编号过于简单被其他地市同样的项目编号覆盖，国家在抽查时无法获取相关数据。</w:t>
      </w:r>
    </w:p>
    <w:p>
      <w:pPr>
        <w:ind w:firstLine="640" w:firstLineChars="200"/>
        <w:rPr>
          <w:rFonts w:ascii="仿宋" w:hAnsi="仿宋" w:eastAsia="仿宋"/>
          <w:sz w:val="32"/>
          <w:szCs w:val="32"/>
        </w:rPr>
      </w:pPr>
      <w:r>
        <w:rPr>
          <w:rFonts w:hint="eastAsia" w:ascii="仿宋" w:hAnsi="仿宋" w:eastAsia="仿宋"/>
          <w:sz w:val="32"/>
          <w:szCs w:val="32"/>
        </w:rPr>
        <w:t>3、土地起始价要按照总价填写，不能按照单价填写，避免起始价不准确。</w:t>
      </w:r>
    </w:p>
    <w:p>
      <w:pPr>
        <w:ind w:firstLine="640" w:firstLineChars="200"/>
        <w:rPr>
          <w:rFonts w:ascii="仿宋" w:hAnsi="仿宋" w:eastAsia="仿宋"/>
          <w:sz w:val="32"/>
          <w:szCs w:val="32"/>
        </w:rPr>
      </w:pPr>
      <w:r>
        <w:rPr>
          <w:rFonts w:hint="eastAsia" w:ascii="仿宋" w:hAnsi="仿宋" w:eastAsia="仿宋"/>
          <w:sz w:val="32"/>
          <w:szCs w:val="32"/>
        </w:rPr>
        <w:t>4、矿业权项目的矿业权类型要选择正确，探矿权出让、采矿权出让、采矿权转让，要根据项目是探矿权还是采矿权进行选择，不要明确是采矿权反而选择了探矿权，</w:t>
      </w:r>
      <w:r>
        <w:rPr>
          <w:rFonts w:hint="eastAsia" w:ascii="仿宋" w:hAnsi="仿宋" w:eastAsia="仿宋"/>
          <w:color w:val="000000"/>
          <w:sz w:val="32"/>
          <w:szCs w:val="32"/>
        </w:rPr>
        <w:t>目前基本没有探矿权出让项目。市县两级项目受理人员在受理矿权项目时应提前与市交易中心业务管理科对接，业务管理科</w:t>
      </w:r>
      <w:r>
        <w:rPr>
          <w:rFonts w:hint="eastAsia" w:ascii="仿宋" w:hAnsi="仿宋" w:eastAsia="仿宋"/>
          <w:sz w:val="32"/>
          <w:szCs w:val="32"/>
        </w:rPr>
        <w:t>看一下矿业权类型有没有选择错误，没问题后再通过审核发布相关公告。</w:t>
      </w:r>
    </w:p>
    <w:p>
      <w:pPr>
        <w:ind w:firstLine="643" w:firstLineChars="200"/>
        <w:outlineLvl w:val="0"/>
        <w:rPr>
          <w:rFonts w:ascii="仿宋" w:hAnsi="仿宋" w:eastAsia="仿宋"/>
          <w:b/>
          <w:bCs/>
          <w:sz w:val="32"/>
          <w:szCs w:val="32"/>
        </w:rPr>
      </w:pPr>
      <w:bookmarkStart w:id="7" w:name="_Toc10062"/>
      <w:bookmarkEnd w:id="7"/>
      <w:r>
        <w:rPr>
          <w:rFonts w:hint="eastAsia" w:ascii="仿宋" w:hAnsi="仿宋" w:eastAsia="仿宋"/>
          <w:b/>
          <w:bCs/>
          <w:sz w:val="32"/>
          <w:szCs w:val="32"/>
        </w:rPr>
        <w:t>五、其他项目交易</w:t>
      </w:r>
    </w:p>
    <w:p>
      <w:pPr>
        <w:ind w:firstLine="640" w:firstLineChars="200"/>
        <w:rPr>
          <w:rFonts w:ascii="仿宋" w:hAnsi="仿宋" w:eastAsia="仿宋"/>
          <w:sz w:val="32"/>
          <w:szCs w:val="32"/>
        </w:rPr>
      </w:pPr>
      <w:r>
        <w:rPr>
          <w:rFonts w:hint="eastAsia" w:ascii="仿宋" w:hAnsi="仿宋" w:eastAsia="仿宋"/>
          <w:sz w:val="32"/>
          <w:szCs w:val="32"/>
        </w:rPr>
        <w:t xml:space="preserve">1、其他交易领域类型主要按照《全国公共资源交易目录指引》的一级项来确定，如: </w:t>
      </w:r>
    </w:p>
    <w:p>
      <w:pPr>
        <w:ind w:firstLine="640" w:firstLineChars="200"/>
        <w:rPr>
          <w:rFonts w:ascii="仿宋" w:hAnsi="仿宋" w:eastAsia="仿宋"/>
          <w:sz w:val="32"/>
          <w:szCs w:val="32"/>
        </w:rPr>
      </w:pPr>
      <w:r>
        <w:rPr>
          <w:rFonts w:hint="eastAsia" w:ascii="仿宋" w:hAnsi="仿宋" w:eastAsia="仿宋"/>
          <w:sz w:val="32"/>
          <w:szCs w:val="32"/>
        </w:rPr>
        <w:t xml:space="preserve">（1）机电产品国际招标（中华人民共和国境内的招标人根据采购机电产品的条件和要求，在全球范围内以招标方式邀请潜在投标人参加投标，并按照规定程序从投标人中确定中标人的一种采购行为。机电产品，是指机械设备、电气设备、交通运输工具、电子产品、电器产品、仪器仪表、金属制品等及其零部件、元器件。来自《机电产品国际招标投标实施办法（试行）》）； </w:t>
      </w:r>
    </w:p>
    <w:p>
      <w:pPr>
        <w:ind w:firstLine="640" w:firstLineChars="200"/>
        <w:rPr>
          <w:rFonts w:ascii="仿宋" w:hAnsi="仿宋" w:eastAsia="仿宋"/>
          <w:sz w:val="32"/>
          <w:szCs w:val="32"/>
        </w:rPr>
      </w:pPr>
      <w:r>
        <w:rPr>
          <w:rFonts w:hint="eastAsia" w:ascii="仿宋" w:hAnsi="仿宋" w:eastAsia="仿宋"/>
          <w:sz w:val="32"/>
          <w:szCs w:val="32"/>
        </w:rPr>
        <w:t xml:space="preserve">（2）海洋资源交易（含海域使用权出让和无居民海岛等海洋资源使用权出让）； </w:t>
      </w:r>
    </w:p>
    <w:p>
      <w:pPr>
        <w:ind w:firstLine="640" w:firstLineChars="200"/>
        <w:rPr>
          <w:rFonts w:ascii="仿宋" w:hAnsi="仿宋" w:eastAsia="仿宋"/>
          <w:sz w:val="32"/>
          <w:szCs w:val="32"/>
        </w:rPr>
      </w:pPr>
      <w:r>
        <w:rPr>
          <w:rFonts w:hint="eastAsia" w:ascii="仿宋" w:hAnsi="仿宋" w:eastAsia="仿宋"/>
          <w:sz w:val="32"/>
          <w:szCs w:val="32"/>
        </w:rPr>
        <w:t xml:space="preserve">（3）林权交易（国有林地使用权、租赁权和林木所有权出让； 集体统一经营管理的林地经营权和林木所有权出让）； </w:t>
      </w:r>
    </w:p>
    <w:p>
      <w:pPr>
        <w:ind w:firstLine="640" w:firstLineChars="200"/>
        <w:rPr>
          <w:rFonts w:ascii="仿宋" w:hAnsi="仿宋" w:eastAsia="仿宋"/>
          <w:sz w:val="32"/>
          <w:szCs w:val="32"/>
        </w:rPr>
      </w:pPr>
      <w:r>
        <w:rPr>
          <w:rFonts w:hint="eastAsia" w:ascii="仿宋" w:hAnsi="仿宋" w:eastAsia="仿宋"/>
          <w:sz w:val="32"/>
          <w:szCs w:val="32"/>
        </w:rPr>
        <w:t xml:space="preserve">（4）农村集体产权交易（农村集体土地经营权流转；农村集体经营性资产出租；农村集体资产股权转让；四荒（荒山、荒沟、荒丘、荒滩）地使用权流转）； </w:t>
      </w:r>
    </w:p>
    <w:p>
      <w:pPr>
        <w:ind w:firstLine="640" w:firstLineChars="200"/>
        <w:rPr>
          <w:rFonts w:ascii="仿宋" w:hAnsi="仿宋" w:eastAsia="仿宋"/>
          <w:sz w:val="32"/>
          <w:szCs w:val="32"/>
        </w:rPr>
      </w:pPr>
      <w:r>
        <w:rPr>
          <w:rFonts w:hint="eastAsia" w:ascii="仿宋" w:hAnsi="仿宋" w:eastAsia="仿宋"/>
          <w:sz w:val="32"/>
          <w:szCs w:val="32"/>
        </w:rPr>
        <w:t xml:space="preserve">（5）无形资产交易（基础设施和公用事业特许经营权授予；市政公用设施及公共场地使用权、承包经营权、冠名权有偿转让。如广告位经营权转让等）； </w:t>
      </w:r>
    </w:p>
    <w:p>
      <w:pPr>
        <w:ind w:firstLine="640" w:firstLineChars="200"/>
        <w:rPr>
          <w:rFonts w:ascii="仿宋" w:hAnsi="仿宋" w:eastAsia="仿宋"/>
          <w:sz w:val="32"/>
          <w:szCs w:val="32"/>
        </w:rPr>
      </w:pPr>
      <w:r>
        <w:rPr>
          <w:rFonts w:hint="eastAsia" w:ascii="仿宋" w:hAnsi="仿宋" w:eastAsia="仿宋"/>
          <w:sz w:val="32"/>
          <w:szCs w:val="32"/>
        </w:rPr>
        <w:t xml:space="preserve">（6）排污权交易（定额出让排污权；公开拍卖排污权）； </w:t>
      </w:r>
    </w:p>
    <w:p>
      <w:pPr>
        <w:ind w:firstLine="640" w:firstLineChars="200"/>
        <w:rPr>
          <w:rFonts w:ascii="仿宋" w:hAnsi="仿宋" w:eastAsia="仿宋"/>
          <w:sz w:val="32"/>
          <w:szCs w:val="32"/>
        </w:rPr>
      </w:pPr>
      <w:r>
        <w:rPr>
          <w:rFonts w:hint="eastAsia" w:ascii="仿宋" w:hAnsi="仿宋" w:eastAsia="仿宋"/>
          <w:sz w:val="32"/>
          <w:szCs w:val="32"/>
        </w:rPr>
        <w:t xml:space="preserve">（7）碳排放权交易； </w:t>
      </w:r>
    </w:p>
    <w:p>
      <w:pPr>
        <w:ind w:firstLine="640" w:firstLineChars="200"/>
        <w:rPr>
          <w:rFonts w:ascii="仿宋" w:hAnsi="仿宋" w:eastAsia="仿宋"/>
          <w:sz w:val="32"/>
          <w:szCs w:val="32"/>
        </w:rPr>
      </w:pPr>
      <w:r>
        <w:rPr>
          <w:rFonts w:hint="eastAsia" w:ascii="仿宋" w:hAnsi="仿宋" w:eastAsia="仿宋"/>
          <w:sz w:val="32"/>
          <w:szCs w:val="32"/>
        </w:rPr>
        <w:t xml:space="preserve">（8）用能权交易； </w:t>
      </w:r>
    </w:p>
    <w:p>
      <w:pPr>
        <w:ind w:firstLine="640" w:firstLineChars="200"/>
        <w:rPr>
          <w:rFonts w:ascii="仿宋" w:hAnsi="仿宋" w:eastAsia="仿宋"/>
          <w:sz w:val="32"/>
          <w:szCs w:val="32"/>
        </w:rPr>
      </w:pPr>
      <w:r>
        <w:rPr>
          <w:rFonts w:hint="eastAsia" w:ascii="仿宋" w:hAnsi="仿宋" w:eastAsia="仿宋"/>
          <w:sz w:val="32"/>
          <w:szCs w:val="32"/>
        </w:rPr>
        <w:t xml:space="preserve">（9）司法机关和行政执法部门开展的涉诉、抵债或罚没资产处置。 </w:t>
      </w:r>
    </w:p>
    <w:p>
      <w:pPr>
        <w:ind w:firstLine="640" w:firstLineChars="200"/>
        <w:rPr>
          <w:rFonts w:ascii="仿宋" w:hAnsi="仿宋" w:eastAsia="仿宋"/>
          <w:sz w:val="32"/>
          <w:szCs w:val="32"/>
        </w:rPr>
      </w:pPr>
      <w:r>
        <w:rPr>
          <w:rFonts w:hint="eastAsia" w:ascii="仿宋" w:hAnsi="仿宋" w:eastAsia="仿宋"/>
          <w:sz w:val="32"/>
          <w:szCs w:val="32"/>
        </w:rPr>
        <w:t xml:space="preserve">2、除《全国公共资源交易目录指引》以外，还可以认定以下其他交易领域类型： </w:t>
      </w:r>
    </w:p>
    <w:p>
      <w:pPr>
        <w:ind w:firstLine="640" w:firstLineChars="200"/>
        <w:rPr>
          <w:rFonts w:ascii="仿宋" w:hAnsi="仿宋" w:eastAsia="仿宋"/>
          <w:sz w:val="32"/>
          <w:szCs w:val="32"/>
        </w:rPr>
      </w:pPr>
      <w:r>
        <w:rPr>
          <w:rFonts w:hint="eastAsia" w:ascii="仿宋" w:hAnsi="仿宋" w:eastAsia="仿宋"/>
          <w:sz w:val="32"/>
          <w:szCs w:val="32"/>
        </w:rPr>
        <w:t xml:space="preserve">（1）国有企业招标采购（国有企业采购货物或者服务的活动）； </w:t>
      </w:r>
    </w:p>
    <w:p>
      <w:pPr>
        <w:ind w:firstLine="640" w:firstLineChars="200"/>
        <w:rPr>
          <w:rFonts w:ascii="仿宋" w:hAnsi="仿宋" w:eastAsia="仿宋"/>
          <w:sz w:val="32"/>
          <w:szCs w:val="32"/>
        </w:rPr>
      </w:pPr>
      <w:r>
        <w:rPr>
          <w:rFonts w:hint="eastAsia" w:ascii="仿宋" w:hAnsi="仿宋" w:eastAsia="仿宋"/>
          <w:sz w:val="32"/>
          <w:szCs w:val="32"/>
        </w:rPr>
        <w:t xml:space="preserve">（2）医疗器械采购（医疗器械、医用耗材）； </w:t>
      </w:r>
    </w:p>
    <w:p>
      <w:pPr>
        <w:ind w:firstLine="640" w:firstLineChars="200"/>
        <w:rPr>
          <w:rFonts w:ascii="仿宋" w:hAnsi="仿宋" w:eastAsia="仿宋"/>
          <w:sz w:val="32"/>
          <w:szCs w:val="32"/>
        </w:rPr>
      </w:pPr>
      <w:r>
        <w:rPr>
          <w:rFonts w:hint="eastAsia" w:ascii="仿宋" w:hAnsi="仿宋" w:eastAsia="仿宋"/>
          <w:sz w:val="32"/>
          <w:szCs w:val="32"/>
        </w:rPr>
        <w:t xml:space="preserve">（3）药品采购； </w:t>
      </w:r>
    </w:p>
    <w:p>
      <w:pPr>
        <w:ind w:firstLine="640" w:firstLineChars="200"/>
        <w:rPr>
          <w:rFonts w:ascii="仿宋" w:hAnsi="仿宋" w:eastAsia="仿宋"/>
          <w:sz w:val="32"/>
          <w:szCs w:val="32"/>
        </w:rPr>
      </w:pPr>
      <w:r>
        <w:rPr>
          <w:rFonts w:hint="eastAsia" w:ascii="仿宋" w:hAnsi="仿宋" w:eastAsia="仿宋"/>
          <w:sz w:val="32"/>
          <w:szCs w:val="32"/>
        </w:rPr>
        <w:t xml:space="preserve">（4）二类疫苗； </w:t>
      </w:r>
    </w:p>
    <w:p>
      <w:pPr>
        <w:ind w:firstLine="640" w:firstLineChars="200"/>
        <w:rPr>
          <w:rFonts w:ascii="仿宋" w:hAnsi="仿宋" w:eastAsia="仿宋"/>
          <w:sz w:val="32"/>
          <w:szCs w:val="32"/>
        </w:rPr>
      </w:pPr>
      <w:r>
        <w:rPr>
          <w:rFonts w:hint="eastAsia" w:ascii="仿宋" w:hAnsi="仿宋" w:eastAsia="仿宋"/>
          <w:sz w:val="32"/>
          <w:szCs w:val="32"/>
        </w:rPr>
        <w:t xml:space="preserve">（5）海域、滩涂使用权出让。 </w:t>
      </w:r>
    </w:p>
    <w:p>
      <w:pPr>
        <w:ind w:firstLine="640" w:firstLineChars="200"/>
        <w:rPr>
          <w:rFonts w:ascii="仿宋" w:hAnsi="仿宋" w:eastAsia="仿宋"/>
          <w:sz w:val="32"/>
          <w:szCs w:val="32"/>
        </w:rPr>
      </w:pPr>
      <w:r>
        <w:rPr>
          <w:rFonts w:hint="eastAsia" w:ascii="仿宋" w:hAnsi="仿宋" w:eastAsia="仿宋"/>
          <w:sz w:val="32"/>
          <w:szCs w:val="32"/>
        </w:rPr>
        <w:t xml:space="preserve">（6）企业增资（国有及国有控股企业、国有实际控制企业增加资本的行为，政府以增加资本金方式对国家出资企业的投资除外。来自《企业国有资产交易监督管理办法》）； </w:t>
      </w:r>
    </w:p>
    <w:p>
      <w:pPr>
        <w:ind w:firstLine="640" w:firstLineChars="200"/>
        <w:rPr>
          <w:rFonts w:ascii="仿宋" w:hAnsi="仿宋" w:eastAsia="仿宋"/>
          <w:sz w:val="32"/>
          <w:szCs w:val="32"/>
        </w:rPr>
      </w:pPr>
      <w:r>
        <w:rPr>
          <w:rFonts w:hint="eastAsia" w:ascii="仿宋" w:hAnsi="仿宋" w:eastAsia="仿宋"/>
          <w:sz w:val="32"/>
          <w:szCs w:val="32"/>
        </w:rPr>
        <w:t xml:space="preserve">（7）技术交易（知识产权转让（专利权，商标所有权，使用权等）；科技成果交易、技术服务交易）； </w:t>
      </w:r>
    </w:p>
    <w:p>
      <w:pPr>
        <w:ind w:firstLine="640" w:firstLineChars="200"/>
        <w:rPr>
          <w:rFonts w:ascii="仿宋" w:hAnsi="仿宋" w:eastAsia="仿宋"/>
          <w:sz w:val="32"/>
          <w:szCs w:val="32"/>
        </w:rPr>
      </w:pPr>
      <w:r>
        <w:rPr>
          <w:rFonts w:hint="eastAsia" w:ascii="仿宋" w:hAnsi="仿宋" w:eastAsia="仿宋"/>
          <w:sz w:val="32"/>
          <w:szCs w:val="32"/>
        </w:rPr>
        <w:t xml:space="preserve">（8）文化交易（文化产权所有者将其拥有的资产所有权、经营权、收益权及相关权利全部或者部分有偿转让的一种经济活动。交易范围包括文化创意、影视制作、出版发行、印刷复制、广告、演艺娱乐、文化会展、数字内容和动漫等领域）； </w:t>
      </w:r>
    </w:p>
    <w:p>
      <w:pPr>
        <w:ind w:firstLine="640" w:firstLineChars="200"/>
        <w:rPr>
          <w:rFonts w:ascii="仿宋" w:hAnsi="仿宋" w:eastAsia="仿宋"/>
          <w:sz w:val="32"/>
          <w:szCs w:val="32"/>
        </w:rPr>
      </w:pPr>
      <w:r>
        <w:rPr>
          <w:rFonts w:hint="eastAsia" w:ascii="仿宋" w:hAnsi="仿宋" w:eastAsia="仿宋"/>
          <w:sz w:val="32"/>
          <w:szCs w:val="32"/>
        </w:rPr>
        <w:t xml:space="preserve">（9）公款存放（各级机关、事业性单位公款存放）； </w:t>
      </w:r>
    </w:p>
    <w:p>
      <w:pPr>
        <w:ind w:firstLine="640" w:firstLineChars="200"/>
        <w:rPr>
          <w:rFonts w:ascii="仿宋" w:hAnsi="仿宋" w:eastAsia="仿宋"/>
          <w:sz w:val="32"/>
          <w:szCs w:val="32"/>
        </w:rPr>
      </w:pPr>
      <w:r>
        <w:rPr>
          <w:rFonts w:hint="eastAsia" w:ascii="仿宋" w:hAnsi="仿宋" w:eastAsia="仿宋"/>
          <w:sz w:val="32"/>
          <w:szCs w:val="32"/>
        </w:rPr>
        <w:t xml:space="preserve">（10）粮食和物资储备交易（粮食和物资储备交易）； </w:t>
      </w:r>
    </w:p>
    <w:p>
      <w:pPr>
        <w:ind w:firstLine="640" w:firstLineChars="200"/>
        <w:rPr>
          <w:rFonts w:ascii="仿宋" w:hAnsi="仿宋" w:eastAsia="仿宋"/>
          <w:sz w:val="32"/>
          <w:szCs w:val="32"/>
        </w:rPr>
      </w:pPr>
      <w:r>
        <w:rPr>
          <w:rFonts w:hint="eastAsia" w:ascii="仿宋" w:hAnsi="仿宋" w:eastAsia="仿宋"/>
          <w:sz w:val="32"/>
          <w:szCs w:val="32"/>
        </w:rPr>
        <w:t xml:space="preserve">（11）小客车指标竞价（通过竞价方式进行小客车指标配置）。 </w:t>
      </w:r>
    </w:p>
    <w:p>
      <w:pPr>
        <w:ind w:firstLine="640" w:firstLineChars="200"/>
        <w:rPr>
          <w:rFonts w:ascii="仿宋" w:hAnsi="仿宋" w:eastAsia="仿宋"/>
          <w:sz w:val="32"/>
          <w:szCs w:val="32"/>
        </w:rPr>
      </w:pPr>
      <w:r>
        <w:rPr>
          <w:rFonts w:hint="eastAsia" w:ascii="仿宋" w:hAnsi="仿宋" w:eastAsia="仿宋"/>
          <w:sz w:val="32"/>
          <w:szCs w:val="32"/>
        </w:rPr>
        <w:t>3、采用非招标方式的小额工程项目，交易分类代码按照Z14编码即在我市公共资源交易平台的自主交易板块进行交易。</w:t>
      </w:r>
    </w:p>
    <w:p>
      <w:pPr>
        <w:ind w:firstLine="640" w:firstLineChars="200"/>
        <w:rPr>
          <w:rFonts w:ascii="仿宋" w:hAnsi="仿宋" w:eastAsia="仿宋"/>
          <w:sz w:val="32"/>
          <w:szCs w:val="32"/>
        </w:rPr>
      </w:pPr>
      <w:r>
        <w:rPr>
          <w:rFonts w:hint="eastAsia" w:ascii="仿宋" w:hAnsi="仿宋" w:eastAsia="仿宋"/>
          <w:sz w:val="32"/>
          <w:szCs w:val="32"/>
        </w:rPr>
        <w:t>4、政府采购板块注册的国有企业招标采购（除公开招标和邀请招标的工程建设项目之外）项目，交易分类代码按照Z10编码，即在政府采购板块进行交易时，是否其他交易项目选择“是”，采购项目类型选择“国有企业招标采购”。</w:t>
      </w:r>
    </w:p>
    <w:p>
      <w:pPr>
        <w:ind w:firstLine="640" w:firstLineChars="200"/>
        <w:rPr>
          <w:rFonts w:ascii="仿宋" w:hAnsi="仿宋" w:eastAsia="仿宋"/>
          <w:sz w:val="32"/>
          <w:szCs w:val="32"/>
        </w:rPr>
      </w:pPr>
      <w:r>
        <w:rPr>
          <w:rFonts w:hint="eastAsia" w:ascii="仿宋" w:hAnsi="仿宋" w:eastAsia="仿宋"/>
          <w:sz w:val="32"/>
          <w:szCs w:val="32"/>
        </w:rPr>
        <w:t>5、无形资产类项目，如果在招资本方阶段，明确必须有施工资质，后续可以不再公开招标施工方，这一类应到我市公共资源交易平台中的建设工程板块进行交易；如果招资本方阶段没有明确相关施工资质，后续还需要再次进行施工方公开招标，那么就作为无形资产归集到其他交易Z99（即在我市公共资源交易平台中的政府采购板块进行交易，是否其他交易项目选择“是”，采购项目类型选择“其他”），再次进行施工方招标时再到我市公共资源交易平台中的建设工程板块进行交易，主要目的是为了避免重复计算投资额。</w:t>
      </w:r>
    </w:p>
    <w:p>
      <w:pPr>
        <w:ind w:firstLine="640" w:firstLineChars="200"/>
        <w:rPr>
          <w:rFonts w:ascii="仿宋" w:hAnsi="仿宋" w:eastAsia="仿宋"/>
          <w:sz w:val="32"/>
          <w:szCs w:val="32"/>
        </w:rPr>
      </w:pPr>
      <w:r>
        <w:rPr>
          <w:rFonts w:hint="eastAsia" w:ascii="仿宋" w:hAnsi="仿宋" w:eastAsia="仿宋"/>
          <w:sz w:val="32"/>
          <w:szCs w:val="32"/>
        </w:rPr>
        <w:t>6、除以上几类项目外，数据规范中没有列出的项目类型可以归集到其他交易Z99（即在我市公共资源交易平台中的政府采购板块进行交易，是否其他交易项目选择“是”，采购项目类型选择“其他”；在产权交易板块进行交易，是否其他交易项目选择“是”，其他交易分类选择“其他”）。</w:t>
      </w:r>
    </w:p>
    <w:p>
      <w:pPr>
        <w:ind w:firstLine="643" w:firstLineChars="200"/>
        <w:outlineLvl w:val="0"/>
        <w:rPr>
          <w:rFonts w:ascii="仿宋" w:hAnsi="仿宋" w:eastAsia="仿宋"/>
          <w:b/>
          <w:bCs/>
          <w:sz w:val="32"/>
          <w:szCs w:val="32"/>
        </w:rPr>
      </w:pPr>
      <w:bookmarkStart w:id="8" w:name="_Toc9767"/>
      <w:bookmarkEnd w:id="8"/>
      <w:r>
        <w:rPr>
          <w:rFonts w:hint="eastAsia" w:ascii="仿宋" w:hAnsi="仿宋" w:eastAsia="仿宋"/>
          <w:b/>
          <w:bCs/>
          <w:sz w:val="32"/>
          <w:szCs w:val="32"/>
        </w:rPr>
        <w:t>六、如何判断省级项目</w:t>
      </w:r>
    </w:p>
    <w:p>
      <w:pPr>
        <w:ind w:firstLine="640" w:firstLineChars="200"/>
        <w:rPr>
          <w:rFonts w:ascii="仿宋" w:hAnsi="仿宋" w:eastAsia="仿宋"/>
          <w:sz w:val="32"/>
          <w:szCs w:val="32"/>
        </w:rPr>
      </w:pPr>
      <w:r>
        <w:rPr>
          <w:rFonts w:hint="eastAsia" w:ascii="仿宋" w:hAnsi="仿宋" w:eastAsia="仿宋"/>
          <w:sz w:val="32"/>
          <w:szCs w:val="32"/>
        </w:rPr>
        <w:t>判断省级项目主要依据招标人及监管部门的性质是否为省直单位及其直管的二级单位，其中省属企业为省国资委网站中省属企业名录里的29家国有企业及其全资子公司，其子公司的子公司招标采购，不属于省级项目。</w:t>
      </w:r>
    </w:p>
    <w:p>
      <w:pPr>
        <w:ind w:firstLine="640" w:firstLineChars="200"/>
        <w:rPr>
          <w:rFonts w:ascii="仿宋" w:hAnsi="仿宋" w:eastAsia="仿宋"/>
          <w:sz w:val="32"/>
          <w:szCs w:val="32"/>
        </w:rPr>
      </w:pPr>
      <w:r>
        <w:rPr>
          <w:rFonts w:hint="eastAsia" w:ascii="仿宋" w:hAnsi="仿宋" w:eastAsia="仿宋"/>
          <w:sz w:val="32"/>
          <w:szCs w:val="32"/>
        </w:rPr>
        <w:t>目前掌握的省直单位：淮北师范大学。</w:t>
      </w:r>
    </w:p>
    <w:p>
      <w:pPr>
        <w:ind w:firstLine="640" w:firstLineChars="200"/>
        <w:rPr>
          <w:rFonts w:ascii="仿宋" w:hAnsi="仿宋" w:eastAsia="仿宋"/>
          <w:sz w:val="32"/>
          <w:szCs w:val="32"/>
        </w:rPr>
      </w:pPr>
      <w:r>
        <w:rPr>
          <w:rFonts w:hint="eastAsia" w:ascii="仿宋" w:hAnsi="仿宋" w:eastAsia="仿宋"/>
          <w:sz w:val="32"/>
          <w:szCs w:val="32"/>
        </w:rPr>
        <w:t>省属企业如下：</w:t>
      </w:r>
    </w:p>
    <w:p>
      <w:pPr>
        <w:ind w:firstLine="640" w:firstLineChars="200"/>
        <w:rPr>
          <w:rFonts w:ascii="仿宋" w:hAnsi="仿宋" w:eastAsia="仿宋"/>
          <w:sz w:val="32"/>
          <w:szCs w:val="32"/>
        </w:rPr>
      </w:pPr>
      <w:r>
        <w:rPr>
          <w:rFonts w:hint="eastAsia" w:ascii="仿宋" w:hAnsi="仿宋" w:eastAsia="仿宋"/>
          <w:sz w:val="32"/>
          <w:szCs w:val="32"/>
        </w:rPr>
        <w:t>安徽省交通控股集团有限公司、安徽海螺集团有限责任公司、安徽省能源集团有限公司、淮北矿业（集团）有限责任公司、淮河能源控股集团有限责任公司、安徽国元金融控股集团有限责任公司、安徽省投资集团控股有限公司、铜陵有色金属集团控股有限公司、安徽江淮汽车集团股份有限公司、皖北煤电集团有限责任公司、华安证券股份有限公司、安徽省引江济淮工程有限责任公司、安徽省港航集团有限公司、安徽叉车集团有限责任公司、安徽省国有资本运营控股集团有限公司、安徽建工集团控股有限公司、安徽民航机场集团有限公司、安徽省农垦集团有限公司、煤炭工业合肥设计研究院有限责任公司、安徽军工集团控股有限公司、安徽皖维集团有限责任公司、安徽省皖中集团有限责任公司、中煤矿山建设集团有限责任公司、安徽省旅游集团有限责任公司、徽商集团、安徽省盐业投资控股集团有限公司、安徽省华强工贸集团有限责任公司、安徽淮海实业发展集团有限公司、安徽省通航控股集团有限公司</w:t>
      </w:r>
    </w:p>
    <w:p>
      <w:pPr>
        <w:ind w:firstLine="643" w:firstLineChars="200"/>
        <w:outlineLvl w:val="0"/>
        <w:rPr>
          <w:rFonts w:ascii="仿宋" w:hAnsi="仿宋" w:eastAsia="仿宋"/>
          <w:b/>
          <w:bCs/>
          <w:sz w:val="32"/>
          <w:szCs w:val="32"/>
        </w:rPr>
      </w:pPr>
      <w:bookmarkStart w:id="9" w:name="_Toc31582"/>
      <w:bookmarkEnd w:id="9"/>
      <w:r>
        <w:rPr>
          <w:rFonts w:hint="eastAsia" w:ascii="仿宋" w:hAnsi="仿宋" w:eastAsia="仿宋"/>
          <w:b/>
          <w:bCs/>
          <w:sz w:val="32"/>
          <w:szCs w:val="32"/>
        </w:rPr>
        <w:t>七、注意事项</w:t>
      </w:r>
    </w:p>
    <w:p>
      <w:pPr>
        <w:ind w:firstLine="640" w:firstLineChars="200"/>
        <w:rPr>
          <w:rFonts w:ascii="仿宋" w:hAnsi="仿宋" w:eastAsia="仿宋"/>
          <w:sz w:val="32"/>
          <w:szCs w:val="32"/>
        </w:rPr>
      </w:pPr>
      <w:r>
        <w:rPr>
          <w:rFonts w:hint="eastAsia" w:ascii="仿宋" w:hAnsi="仿宋" w:eastAsia="仿宋"/>
          <w:sz w:val="32"/>
          <w:szCs w:val="32"/>
        </w:rPr>
        <w:t>1、所有</w:t>
      </w:r>
      <w:r>
        <w:rPr>
          <w:rFonts w:hint="eastAsia" w:ascii="仿宋" w:hAnsi="仿宋" w:eastAsia="仿宋"/>
          <w:sz w:val="32"/>
          <w:szCs w:val="32"/>
          <w:lang w:eastAsia="zh-CN"/>
        </w:rPr>
        <w:t>填报、</w:t>
      </w:r>
      <w:r>
        <w:rPr>
          <w:rFonts w:hint="eastAsia" w:ascii="仿宋" w:hAnsi="仿宋" w:eastAsia="仿宋"/>
          <w:sz w:val="32"/>
          <w:szCs w:val="32"/>
          <w:lang w:val="en-US" w:eastAsia="zh-CN"/>
        </w:rPr>
        <w:t>见证或推送人</w:t>
      </w:r>
      <w:r>
        <w:rPr>
          <w:rFonts w:hint="eastAsia" w:ascii="仿宋" w:hAnsi="仿宋" w:eastAsia="仿宋"/>
          <w:sz w:val="32"/>
          <w:szCs w:val="32"/>
        </w:rPr>
        <w:t>员不仅要</w:t>
      </w:r>
      <w:r>
        <w:rPr>
          <w:rFonts w:hint="eastAsia" w:ascii="仿宋" w:hAnsi="仿宋" w:eastAsia="仿宋"/>
          <w:sz w:val="32"/>
          <w:szCs w:val="32"/>
          <w:lang w:val="en-US" w:eastAsia="zh-CN"/>
        </w:rPr>
        <w:t>审核</w:t>
      </w:r>
      <w:r>
        <w:rPr>
          <w:rFonts w:hint="eastAsia" w:ascii="仿宋" w:hAnsi="仿宋" w:eastAsia="仿宋"/>
          <w:sz w:val="32"/>
          <w:szCs w:val="32"/>
        </w:rPr>
        <w:t>内容格式是否符合要求，文字表述是否错误，同时要检查结构化数据是否录入正确。涉及开始时间应该填写当天，当天应审核通过。若当天未</w:t>
      </w:r>
      <w:r>
        <w:rPr>
          <w:rFonts w:hint="eastAsia" w:ascii="仿宋" w:hAnsi="仿宋" w:eastAsia="仿宋"/>
          <w:sz w:val="32"/>
          <w:szCs w:val="32"/>
          <w:lang w:val="en-US" w:eastAsia="zh-CN"/>
        </w:rPr>
        <w:t>通过</w:t>
      </w:r>
      <w:r>
        <w:rPr>
          <w:rFonts w:hint="eastAsia" w:ascii="仿宋" w:hAnsi="仿宋" w:eastAsia="仿宋"/>
          <w:sz w:val="32"/>
          <w:szCs w:val="32"/>
        </w:rPr>
        <w:t xml:space="preserve">可以撤回需修改时间后再重新提交审核。 </w:t>
      </w:r>
    </w:p>
    <w:p>
      <w:pPr>
        <w:ind w:firstLine="640" w:firstLineChars="200"/>
        <w:rPr>
          <w:rFonts w:ascii="仿宋" w:hAnsi="仿宋" w:eastAsia="仿宋"/>
          <w:sz w:val="32"/>
          <w:szCs w:val="32"/>
        </w:rPr>
      </w:pPr>
      <w:r>
        <w:rPr>
          <w:rFonts w:hint="eastAsia" w:ascii="仿宋" w:hAnsi="仿宋" w:eastAsia="仿宋"/>
          <w:sz w:val="32"/>
          <w:szCs w:val="32"/>
        </w:rPr>
        <w:t>2、因省平台数据交换系统会出现阻塞的现象，考虑到审核、数据交互以及核查数据推送情况等需要预留一定的时间，因此代理人员尽量在下班之前完成当天应传必传的交易环节数据录入工作。</w:t>
      </w:r>
    </w:p>
    <w:p>
      <w:pPr>
        <w:ind w:firstLine="640" w:firstLineChars="200"/>
        <w:rPr>
          <w:rFonts w:ascii="仿宋" w:hAnsi="仿宋" w:eastAsia="仿宋"/>
          <w:sz w:val="32"/>
          <w:szCs w:val="32"/>
        </w:rPr>
      </w:pPr>
      <w:r>
        <w:rPr>
          <w:rFonts w:hint="eastAsia" w:ascii="仿宋" w:hAnsi="仿宋" w:eastAsia="仿宋"/>
          <w:sz w:val="32"/>
          <w:szCs w:val="32"/>
        </w:rPr>
        <w:t>3、代理人员录入推送数据应在工作日进行，确有必要在非工作日进行的，需提前跟市交易中心业务管理科报备，而且数据录入推送后要及时核查数据推送情况并及时进行反馈。</w:t>
      </w:r>
    </w:p>
    <w:p>
      <w:pPr>
        <w:ind w:firstLine="640" w:firstLineChars="200"/>
        <w:rPr>
          <w:rFonts w:ascii="仿宋" w:hAnsi="仿宋" w:eastAsia="仿宋"/>
          <w:sz w:val="32"/>
          <w:szCs w:val="32"/>
        </w:rPr>
      </w:pPr>
      <w:r>
        <w:rPr>
          <w:rFonts w:hint="eastAsia" w:ascii="仿宋" w:hAnsi="仿宋" w:eastAsia="仿宋"/>
          <w:sz w:val="32"/>
          <w:szCs w:val="32"/>
        </w:rPr>
        <w:t>4、系统录入数据后，要及时检查数据推送情况。首先公告公示等信息发布后在淮北市公共资源交易服务网检查相关信息是否展示正常，打开是否正常；其次待相关信息在淮北市公共资源交易服务网展示正常，半个小时到1个小时左右打开安徽省公共资源交易监管网，查看相关信息是否正常展示，同时点击省监管网网页上的原文链接，检查该链接是否正常跳转至淮北市公共资源交易服务网对应该项目展示的公告公示内容（数据正常情况是在省监管网项目公告页面点击原文链接可以跳转至淮北市公共资源交易服务网该项目公告页面），如有推送异常，及时联系市交易中心业务管理科或平台运维技术人员排查处理。</w:t>
      </w:r>
    </w:p>
    <w:p>
      <w:pPr>
        <w:ind w:firstLine="640" w:firstLineChars="200"/>
        <w:rPr>
          <w:rFonts w:ascii="仿宋" w:hAnsi="仿宋" w:eastAsia="仿宋"/>
          <w:sz w:val="32"/>
          <w:szCs w:val="32"/>
        </w:rPr>
      </w:pPr>
      <w:r>
        <w:rPr>
          <w:rFonts w:hint="eastAsia" w:ascii="仿宋" w:hAnsi="仿宋" w:eastAsia="仿宋"/>
          <w:sz w:val="32"/>
          <w:szCs w:val="32"/>
        </w:rPr>
        <w:t xml:space="preserve">5、所有数据做到应填必填，且应按顺序进行，前一个环节不结束，后一个环节不开始。 </w:t>
      </w:r>
    </w:p>
    <w:p>
      <w:pPr>
        <w:ind w:firstLine="640" w:firstLineChars="200"/>
        <w:rPr>
          <w:rFonts w:ascii="仿宋" w:hAnsi="仿宋" w:eastAsia="仿宋"/>
          <w:sz w:val="32"/>
          <w:szCs w:val="32"/>
        </w:rPr>
      </w:pPr>
      <w:r>
        <w:rPr>
          <w:rFonts w:hint="eastAsia" w:ascii="仿宋" w:hAnsi="仿宋" w:eastAsia="仿宋"/>
          <w:sz w:val="32"/>
          <w:szCs w:val="32"/>
        </w:rPr>
        <w:t>6、市场主体统一社会信用代码从省主体库挑选或录入，务必挑选或录入准确。市场主体为法人或其他组织的，填写18位统一社会信用代码。市场主体为自然人的，填写自然人的身份证号码。统一社会信用代码和身份证号码里面的字母一定要大写，不能填小写字母。</w:t>
      </w:r>
    </w:p>
    <w:p>
      <w:pPr>
        <w:ind w:firstLine="640" w:firstLineChars="200"/>
        <w:rPr>
          <w:rFonts w:ascii="仿宋" w:hAnsi="仿宋" w:eastAsia="仿宋"/>
          <w:sz w:val="32"/>
          <w:szCs w:val="32"/>
        </w:rPr>
      </w:pPr>
      <w:r>
        <w:rPr>
          <w:rFonts w:hint="eastAsia" w:ascii="仿宋" w:hAnsi="仿宋" w:eastAsia="仿宋"/>
          <w:sz w:val="32"/>
          <w:szCs w:val="32"/>
        </w:rPr>
        <w:t xml:space="preserve">7、按照最新考核要求，监管部门名称和统一社会信用代码也纳入考核，若系统中无法挑选到监管部门，请代理联系相应的监管部门收集该监管部门名称和统一社会信用代码提供给市交易中心业务管理科，业务管理科负责将上述内容添加至平台中，从而避免因自行录入造成数据错误。 </w:t>
      </w:r>
    </w:p>
    <w:p>
      <w:pPr>
        <w:ind w:firstLine="640" w:firstLineChars="200"/>
        <w:rPr>
          <w:rFonts w:ascii="仿宋" w:hAnsi="仿宋" w:eastAsia="仿宋"/>
          <w:sz w:val="32"/>
          <w:szCs w:val="32"/>
        </w:rPr>
      </w:pPr>
      <w:r>
        <w:rPr>
          <w:rFonts w:hint="eastAsia" w:ascii="仿宋" w:hAnsi="仿宋" w:eastAsia="仿宋"/>
          <w:sz w:val="32"/>
          <w:szCs w:val="32"/>
        </w:rPr>
        <w:t>8、系统录入的预算金额（最高投标限价、起始金额、挂牌金额）、成交金额等务必准确,禁止将录入的金额进行四舍五入，特别是工程建设、政府采购版块的中标通知书发放环节和产权交易、土地出让、矿业权出让、农村产权、限额以下工程及其他交易版块的成交结果公示环节，且尽量跟网站公布的金额保持一致（注：合理的误差除外，如费率、单价等招标的项目，网站公布的金额以百分比、单价等形式展示，系统录入的金额要填换算的具体金额）。</w:t>
      </w:r>
    </w:p>
    <w:p>
      <w:pPr>
        <w:ind w:firstLine="640" w:firstLineChars="200"/>
        <w:rPr>
          <w:rFonts w:ascii="仿宋" w:hAnsi="仿宋" w:eastAsia="仿宋"/>
          <w:sz w:val="32"/>
          <w:szCs w:val="32"/>
        </w:rPr>
      </w:pPr>
      <w:r>
        <w:rPr>
          <w:rFonts w:hint="eastAsia" w:ascii="仿宋" w:hAnsi="仿宋" w:eastAsia="仿宋"/>
          <w:sz w:val="32"/>
          <w:szCs w:val="32"/>
        </w:rPr>
        <w:t>9、选择正确的价款形式。（1）费率、单价中标项目在系统要挑选正确的价款形式，示例：如果网站成交结果公告内容展示为“中标价（费率/元）：40%（约100000元）”，系统可以推费率也可以推金额（此类情况建议直接推送金额）。系统如推送金额，“价款形式代码”选择“金额形式”，“中标价格”填“100000”元。系统如推送费率，“价款形式代码”选择“费率形式”，“费率或其他类型结果”填“40%”，同步需填“中标价格”为“100000”元。</w:t>
      </w:r>
    </w:p>
    <w:p>
      <w:pPr>
        <w:ind w:firstLine="640" w:firstLineChars="200"/>
        <w:rPr>
          <w:rFonts w:ascii="仿宋" w:hAnsi="仿宋" w:eastAsia="仿宋"/>
          <w:sz w:val="32"/>
          <w:szCs w:val="32"/>
          <w:highlight w:val="red"/>
        </w:rPr>
      </w:pPr>
      <w:r>
        <w:rPr>
          <w:rFonts w:hint="eastAsia" w:ascii="仿宋" w:hAnsi="仿宋" w:eastAsia="仿宋"/>
          <w:sz w:val="32"/>
          <w:szCs w:val="32"/>
        </w:rPr>
        <w:t>（2）中标结果以金额表示，为数字，则价款形式应选择“金额形式”。中标结果用费率表示，为百分比，价款形式代码应选择“费率形式”，“费率或其他类型结果”填“**%”。中标结果以单价形式表示，价款形式代码应选择“单价形式”，“费率或其他类型结果”填“**元/个”。中标结果以文字描述表示，价款形式代码应选择“文字表述”，“费率或其他类型结果”填“****文字内容”，例如中标价是“施工合同价的1%”，建议价款形式代码应选择“文字表述”。</w:t>
      </w:r>
    </w:p>
    <w:p>
      <w:pPr>
        <w:ind w:firstLine="640" w:firstLineChars="200"/>
        <w:rPr>
          <w:rFonts w:ascii="仿宋" w:hAnsi="仿宋" w:eastAsia="仿宋"/>
          <w:sz w:val="32"/>
          <w:szCs w:val="32"/>
        </w:rPr>
      </w:pPr>
      <w:r>
        <w:rPr>
          <w:rFonts w:hint="eastAsia" w:ascii="仿宋" w:hAnsi="仿宋" w:eastAsia="仿宋"/>
          <w:sz w:val="32"/>
          <w:szCs w:val="32"/>
        </w:rPr>
        <w:t>对于费率、单价中标的项目，录入的估算金额要有折算的依据。特别注意采购类的项目，如果中标（成交）公示内容中写的中标金额是***元/年的时候，在系统录入最高投标限价和中标价的时候要分别乘以具体的年限，例如是经过考核可以一共三年服务期，那么系统录入的最高投标限价和中标价都要分别乘以3后在录入。如果中标（成交）公示内容中写的中标金额是***元，但是在主要标的信息中服务期写的是自合同签订之日起1年 (年度考核合格后，在不增加人员和经费的情况下，可以续签合同2年）的情况下，在系统录入最高投标限价和中标价时只要录入一年的最高投标限价和中标价。</w:t>
      </w:r>
    </w:p>
    <w:p>
      <w:pPr>
        <w:ind w:firstLine="640" w:firstLineChars="200"/>
        <w:rPr>
          <w:rFonts w:ascii="仿宋" w:hAnsi="仿宋" w:eastAsia="仿宋"/>
          <w:sz w:val="32"/>
          <w:szCs w:val="32"/>
        </w:rPr>
      </w:pPr>
      <w:r>
        <w:rPr>
          <w:rFonts w:hint="eastAsia" w:ascii="仿宋" w:hAnsi="仿宋" w:eastAsia="仿宋"/>
          <w:sz w:val="32"/>
          <w:szCs w:val="32"/>
        </w:rPr>
        <w:t xml:space="preserve">10、如果各交易版块有中标候选人公示、中标（成交）结果公示等交易结果信息需要变更重新进行公示的情况（不包括项目终止、流标等交易异常情况），要从系统走对应的变更流程并推送至省平台。变更交易结果信息发布后请立即与市交易中心业务管理科、平台运维技术人员反馈，以便于检查变更数据是否推送正常。 </w:t>
      </w:r>
    </w:p>
    <w:p>
      <w:pPr>
        <w:ind w:firstLine="640" w:firstLineChars="200"/>
        <w:rPr>
          <w:rFonts w:ascii="仿宋" w:hAnsi="仿宋" w:eastAsia="仿宋"/>
          <w:sz w:val="32"/>
          <w:szCs w:val="32"/>
        </w:rPr>
      </w:pPr>
      <w:r>
        <w:rPr>
          <w:rFonts w:hint="eastAsia" w:ascii="仿宋" w:hAnsi="仿宋" w:eastAsia="仿宋"/>
          <w:sz w:val="32"/>
          <w:szCs w:val="32"/>
        </w:rPr>
        <w:t>11、中标信息:是否联合体中标、联合体单位信息等字段务必填写准确。联合体单位信息需要填写联合体所有成员单位的统一社会信用代码及单位名称，中标候选人公示、成交结果公示环节审核人员必须检查结构化数据中联合体成员单位信息是否与公示内容中的中标单位是否一致。</w:t>
      </w:r>
    </w:p>
    <w:p>
      <w:pPr>
        <w:ind w:firstLine="640" w:firstLineChars="200"/>
        <w:rPr>
          <w:rFonts w:ascii="仿宋" w:hAnsi="仿宋" w:eastAsia="仿宋"/>
          <w:sz w:val="32"/>
          <w:szCs w:val="32"/>
        </w:rPr>
      </w:pPr>
      <w:r>
        <w:rPr>
          <w:rFonts w:hint="eastAsia" w:ascii="仿宋" w:hAnsi="仿宋" w:eastAsia="仿宋"/>
          <w:sz w:val="32"/>
          <w:szCs w:val="32"/>
        </w:rPr>
        <w:t>12、录入信用信息时，若记录不良行为的主体是单位，主体类型选择法人，主体代码录入单位的统一社会信用代码；若记录不良行为的主体是个人（单位里面的工作人员），主体类型选择自然人，主体代码录入个人的身份证号码。</w:t>
      </w:r>
    </w:p>
    <w:p>
      <w:pPr>
        <w:ind w:firstLine="640" w:firstLineChars="200"/>
        <w:rPr>
          <w:rFonts w:ascii="仿宋" w:hAnsi="仿宋" w:eastAsia="仿宋"/>
          <w:sz w:val="32"/>
          <w:szCs w:val="32"/>
        </w:rPr>
      </w:pPr>
      <w:r>
        <w:rPr>
          <w:rFonts w:hint="eastAsia" w:ascii="仿宋" w:hAnsi="仿宋" w:eastAsia="仿宋"/>
          <w:sz w:val="32"/>
          <w:szCs w:val="32"/>
        </w:rPr>
        <w:t xml:space="preserve">13、注意个人隐私保护。在淮北市公共资源交易服务网发布各类公共资源交易信息时应对公民身份证号码（含其他证件号码）、详细居住地址等隐私信息予以遮挡、去标识化，具体去标识化处理参照如下要求： </w:t>
      </w:r>
    </w:p>
    <w:p>
      <w:pPr>
        <w:ind w:firstLine="640" w:firstLineChars="200"/>
        <w:rPr>
          <w:rFonts w:ascii="仿宋" w:hAnsi="仿宋" w:eastAsia="仿宋"/>
          <w:sz w:val="32"/>
          <w:szCs w:val="32"/>
        </w:rPr>
      </w:pPr>
      <w:r>
        <w:rPr>
          <w:rFonts w:hint="eastAsia" w:ascii="仿宋" w:hAnsi="仿宋" w:eastAsia="仿宋"/>
          <w:sz w:val="32"/>
          <w:szCs w:val="32"/>
        </w:rPr>
        <w:t xml:space="preserve">1.身份证号码：身份证号码的第 7-17 位（即：表示出生年月日、派出所代码、性别代码）用*号代替； </w:t>
      </w:r>
    </w:p>
    <w:p>
      <w:pPr>
        <w:ind w:firstLine="640" w:firstLineChars="200"/>
        <w:rPr>
          <w:rFonts w:ascii="仿宋" w:hAnsi="仿宋" w:eastAsia="仿宋"/>
          <w:sz w:val="32"/>
          <w:szCs w:val="32"/>
        </w:rPr>
      </w:pPr>
      <w:r>
        <w:rPr>
          <w:rFonts w:hint="eastAsia" w:ascii="仿宋" w:hAnsi="仿宋" w:eastAsia="仿宋"/>
          <w:sz w:val="32"/>
          <w:szCs w:val="32"/>
        </w:rPr>
        <w:t xml:space="preserve">2.残疾证号码：残疾证号码由身份证号码+其他号码生成，因此残疾证号码的第 7-17 位（即：表示出生年月日、派出所代码、性别代码）用*号代替； </w:t>
      </w:r>
    </w:p>
    <w:p>
      <w:pPr>
        <w:ind w:firstLine="640" w:firstLineChars="200"/>
        <w:rPr>
          <w:rFonts w:ascii="仿宋" w:hAnsi="仿宋" w:eastAsia="仿宋"/>
          <w:sz w:val="32"/>
          <w:szCs w:val="32"/>
        </w:rPr>
      </w:pPr>
      <w:r>
        <w:rPr>
          <w:rFonts w:hint="eastAsia" w:ascii="仿宋" w:hAnsi="仿宋" w:eastAsia="仿宋"/>
          <w:sz w:val="32"/>
          <w:szCs w:val="32"/>
        </w:rPr>
        <w:t xml:space="preserve">3.社保卡号码：社保卡号码采用的是身份证号码，因此社保卡号码的第7-17 位用*号代替； </w:t>
      </w:r>
    </w:p>
    <w:p>
      <w:pPr>
        <w:ind w:firstLine="640" w:firstLineChars="200"/>
        <w:rPr>
          <w:rFonts w:ascii="仿宋" w:hAnsi="仿宋" w:eastAsia="仿宋"/>
          <w:sz w:val="32"/>
          <w:szCs w:val="32"/>
        </w:rPr>
      </w:pPr>
      <w:r>
        <w:rPr>
          <w:rFonts w:hint="eastAsia" w:ascii="仿宋" w:hAnsi="仿宋" w:eastAsia="仿宋"/>
          <w:sz w:val="32"/>
          <w:szCs w:val="32"/>
        </w:rPr>
        <w:t xml:space="preserve">4.驾驶证号码：驾驶证号码采用的是身份证号码，因此驾驶证号码的第7-17 位用*号代替； </w:t>
      </w:r>
    </w:p>
    <w:p>
      <w:pPr>
        <w:ind w:firstLine="640" w:firstLineChars="200"/>
        <w:rPr>
          <w:rFonts w:ascii="仿宋" w:hAnsi="仿宋" w:eastAsia="仿宋"/>
          <w:sz w:val="32"/>
          <w:szCs w:val="32"/>
        </w:rPr>
      </w:pPr>
      <w:r>
        <w:rPr>
          <w:rFonts w:hint="eastAsia" w:ascii="仿宋" w:hAnsi="仿宋" w:eastAsia="仿宋"/>
          <w:sz w:val="32"/>
          <w:szCs w:val="32"/>
        </w:rPr>
        <w:t>5.手机号码：手机号码的第 4-9 位用*号代替（如确实需要发布手机号码的，建议将姓名中的名字做去标识化处理，如王工、李工等）；</w:t>
      </w:r>
    </w:p>
    <w:p>
      <w:pPr>
        <w:ind w:firstLine="640" w:firstLineChars="200"/>
        <w:rPr>
          <w:rFonts w:ascii="仿宋" w:hAnsi="仿宋" w:eastAsia="仿宋"/>
          <w:sz w:val="32"/>
          <w:szCs w:val="32"/>
        </w:rPr>
      </w:pPr>
      <w:r>
        <w:rPr>
          <w:rFonts w:hint="eastAsia" w:ascii="仿宋" w:hAnsi="仿宋" w:eastAsia="仿宋"/>
          <w:sz w:val="32"/>
          <w:szCs w:val="32"/>
        </w:rPr>
        <w:t xml:space="preserve">6.金融账户（银行卡号、存折号码）：由于各银行发行的银行卡、存折号码编码规则并不完全一致，银行卡号、存折卡号位数并不完全相同，因此，银行卡号、存折号应至少将 1/2 数字用*号代替。 </w:t>
      </w:r>
    </w:p>
    <w:p>
      <w:pPr>
        <w:ind w:firstLine="640" w:firstLineChars="200"/>
        <w:rPr>
          <w:rFonts w:ascii="仿宋" w:hAnsi="仿宋" w:eastAsia="仿宋"/>
          <w:sz w:val="32"/>
          <w:szCs w:val="32"/>
        </w:rPr>
      </w:pPr>
      <w:r>
        <w:rPr>
          <w:rFonts w:hint="eastAsia" w:ascii="仿宋" w:hAnsi="仿宋" w:eastAsia="仿宋"/>
          <w:sz w:val="32"/>
          <w:szCs w:val="32"/>
        </w:rPr>
        <w:t xml:space="preserve">7.具体家庭住址：家庭住址只到乡镇、街道，一般不允许细化到村、社区。 </w:t>
      </w:r>
    </w:p>
    <w:p>
      <w:pPr>
        <w:ind w:firstLine="640" w:firstLineChars="200"/>
        <w:rPr>
          <w:rFonts w:ascii="仿宋" w:hAnsi="仿宋" w:eastAsia="仿宋"/>
          <w:sz w:val="32"/>
          <w:szCs w:val="32"/>
        </w:rPr>
      </w:pPr>
      <w:r>
        <w:rPr>
          <w:rFonts w:hint="eastAsia" w:ascii="仿宋" w:hAnsi="仿宋" w:eastAsia="仿宋"/>
          <w:sz w:val="32"/>
          <w:szCs w:val="32"/>
        </w:rPr>
        <w:t xml:space="preserve">8.健康状况（疾病、残疾信息）：非明确要求，健康状况（疾病、残疾信息等）一般不允许公示。 </w:t>
      </w:r>
    </w:p>
    <w:p>
      <w:pPr>
        <w:ind w:firstLine="643" w:firstLineChars="200"/>
        <w:rPr>
          <w:rFonts w:hint="eastAsia" w:ascii="楷体_GB2312" w:hAnsi="楷体_GB2312"/>
          <w:b/>
          <w:bCs/>
          <w:sz w:val="32"/>
          <w:szCs w:val="32"/>
        </w:rPr>
      </w:pPr>
      <w:r>
        <w:rPr>
          <w:rFonts w:ascii="楷体_GB2312" w:hAnsi="楷体_GB2312"/>
          <w:b/>
          <w:bCs/>
          <w:sz w:val="32"/>
          <w:szCs w:val="32"/>
        </w:rPr>
        <w:t xml:space="preserve"> </w:t>
      </w:r>
    </w:p>
    <w:p>
      <w:pPr>
        <w:ind w:firstLine="643" w:firstLineChars="200"/>
        <w:rPr>
          <w:rFonts w:hint="eastAsia" w:ascii="楷体_GB2312" w:hAnsi="楷体_GB2312"/>
          <w:b/>
          <w:bCs/>
          <w:sz w:val="32"/>
          <w:szCs w:val="32"/>
        </w:rPr>
      </w:pPr>
      <w:r>
        <w:rPr>
          <w:rFonts w:ascii="楷体_GB2312" w:hAnsi="楷体_GB2312"/>
          <w:b/>
          <w:bCs/>
          <w:sz w:val="32"/>
          <w:szCs w:val="32"/>
        </w:rPr>
        <w:t xml:space="preserve"> </w:t>
      </w:r>
    </w:p>
    <w:p>
      <w:pPr>
        <w:ind w:firstLine="643" w:firstLineChars="200"/>
        <w:rPr>
          <w:rFonts w:hint="eastAsia" w:ascii="楷体_GB2312" w:hAnsi="楷体_GB2312"/>
          <w:b/>
          <w:bCs/>
          <w:sz w:val="32"/>
          <w:szCs w:val="32"/>
        </w:rPr>
      </w:pPr>
      <w:r>
        <w:rPr>
          <w:rFonts w:ascii="楷体_GB2312" w:hAnsi="楷体_GB2312"/>
          <w:b/>
          <w:bCs/>
          <w:sz w:val="32"/>
          <w:szCs w:val="32"/>
        </w:rPr>
        <w:t xml:space="preserve"> </w:t>
      </w:r>
    </w:p>
    <w:p>
      <w:pPr>
        <w:rPr>
          <w:rFonts w:hint="eastAsia" w:ascii="楷体_GB2312" w:hAnsi="楷体_GB2312"/>
          <w:b/>
          <w:bCs/>
          <w:sz w:val="32"/>
          <w:szCs w:val="32"/>
        </w:rPr>
      </w:pPr>
      <w:r>
        <w:rPr>
          <w:rFonts w:ascii="楷体_GB2312" w:hAnsi="楷体_GB2312"/>
          <w:b/>
          <w:bCs/>
          <w:sz w:val="32"/>
          <w:szCs w:val="32"/>
        </w:rPr>
        <w:t xml:space="preserve"> </w:t>
      </w:r>
    </w:p>
    <w:p>
      <w:pPr>
        <w:rPr>
          <w:rFonts w:hint="eastAsia" w:ascii="楷体_GB2312" w:hAnsi="楷体_GB2312"/>
          <w:b/>
          <w:bCs/>
          <w:sz w:val="32"/>
          <w:szCs w:val="32"/>
        </w:rPr>
      </w:pPr>
      <w:r>
        <w:rPr>
          <w:rFonts w:ascii="楷体_GB2312" w:hAnsi="楷体_GB2312"/>
          <w:b/>
          <w:bCs/>
          <w:sz w:val="32"/>
          <w:szCs w:val="32"/>
        </w:rPr>
        <w:t xml:space="preserve"> </w:t>
      </w:r>
    </w:p>
    <w:p>
      <w:pPr>
        <w:rPr>
          <w:rFonts w:hint="eastAsia" w:ascii="楷体_GB2312" w:hAnsi="楷体_GB2312"/>
          <w:b/>
          <w:bCs/>
          <w:sz w:val="32"/>
          <w:szCs w:val="32"/>
        </w:rPr>
      </w:pPr>
      <w:r>
        <w:rPr>
          <w:rFonts w:ascii="楷体_GB2312" w:hAnsi="楷体_GB2312"/>
          <w:b/>
          <w:bCs/>
          <w:sz w:val="32"/>
          <w:szCs w:val="32"/>
        </w:rPr>
        <w:t xml:space="preserve"> </w:t>
      </w:r>
    </w:p>
    <w:p>
      <w:pPr>
        <w:rPr>
          <w:rFonts w:hint="eastAsia" w:ascii="楷体_GB2312" w:hAnsi="楷体_GB2312"/>
          <w:b/>
          <w:bCs/>
          <w:sz w:val="32"/>
          <w:szCs w:val="32"/>
        </w:rPr>
      </w:pPr>
      <w:r>
        <w:rPr>
          <w:rFonts w:ascii="楷体_GB2312" w:hAnsi="楷体_GB2312"/>
          <w:b/>
          <w:bCs/>
          <w:sz w:val="32"/>
          <w:szCs w:val="32"/>
        </w:rPr>
        <w:t xml:space="preserve"> </w:t>
      </w:r>
    </w:p>
    <w:p>
      <w:pPr>
        <w:rPr>
          <w:rFonts w:hint="eastAsia" w:ascii="楷体_GB2312" w:hAnsi="楷体_GB2312"/>
          <w:b/>
          <w:bCs/>
          <w:sz w:val="32"/>
          <w:szCs w:val="32"/>
        </w:rPr>
      </w:pPr>
      <w:r>
        <w:rPr>
          <w:rFonts w:ascii="楷体_GB2312" w:hAnsi="楷体_GB2312"/>
          <w:b/>
          <w:bCs/>
          <w:sz w:val="32"/>
          <w:szCs w:val="32"/>
        </w:rPr>
        <w:t xml:space="preserve"> </w:t>
      </w:r>
    </w:p>
    <w:p>
      <w:pPr>
        <w:rPr>
          <w:rFonts w:hint="eastAsia" w:ascii="楷体_GB2312" w:hAnsi="楷体_GB2312"/>
          <w:b/>
          <w:bCs/>
          <w:sz w:val="32"/>
          <w:szCs w:val="32"/>
        </w:rPr>
      </w:pPr>
      <w:r>
        <w:rPr>
          <w:rFonts w:ascii="楷体_GB2312" w:hAnsi="楷体_GB2312"/>
          <w:b/>
          <w:bCs/>
          <w:sz w:val="32"/>
          <w:szCs w:val="32"/>
        </w:rPr>
        <w:t xml:space="preserve"> </w:t>
      </w:r>
    </w:p>
    <w:p>
      <w:pPr>
        <w:rPr>
          <w:rFonts w:hint="eastAsia" w:ascii="楷体_GB2312" w:hAnsi="楷体_GB2312"/>
          <w:b/>
          <w:bCs/>
          <w:sz w:val="32"/>
          <w:szCs w:val="32"/>
        </w:rPr>
      </w:pPr>
      <w:r>
        <w:rPr>
          <w:rFonts w:ascii="楷体_GB2312" w:hAnsi="楷体_GB2312"/>
          <w:b/>
          <w:bCs/>
          <w:sz w:val="32"/>
          <w:szCs w:val="32"/>
        </w:rPr>
        <w:t xml:space="preserve"> </w:t>
      </w:r>
    </w:p>
    <w:p>
      <w:pPr>
        <w:rPr>
          <w:rFonts w:hint="eastAsia" w:ascii="楷体_GB2312" w:hAnsi="楷体_GB2312"/>
          <w:b/>
          <w:bCs/>
          <w:sz w:val="32"/>
          <w:szCs w:val="32"/>
        </w:rPr>
      </w:pPr>
      <w:r>
        <w:rPr>
          <w:rFonts w:ascii="楷体_GB2312" w:hAnsi="楷体_GB2312"/>
          <w:b/>
          <w:bCs/>
          <w:sz w:val="32"/>
          <w:szCs w:val="32"/>
        </w:rPr>
        <w:t xml:space="preserve"> </w:t>
      </w:r>
    </w:p>
    <w:p>
      <w:pPr>
        <w:rPr>
          <w:rFonts w:hint="eastAsia" w:ascii="楷体_GB2312" w:hAnsi="楷体_GB2312"/>
          <w:b/>
          <w:bCs/>
          <w:sz w:val="32"/>
          <w:szCs w:val="32"/>
        </w:rPr>
      </w:pPr>
      <w:r>
        <w:rPr>
          <w:rFonts w:ascii="楷体_GB2312" w:hAnsi="楷体_GB2312"/>
          <w:b/>
          <w:bCs/>
          <w:sz w:val="32"/>
          <w:szCs w:val="32"/>
        </w:rPr>
        <w:t xml:space="preserve"> </w:t>
      </w:r>
    </w:p>
    <w:p>
      <w:pPr>
        <w:ind w:firstLine="643" w:firstLineChars="200"/>
        <w:outlineLvl w:val="0"/>
        <w:rPr>
          <w:rFonts w:hint="eastAsia" w:ascii="楷体_GB2312" w:hAnsi="楷体_GB2312"/>
          <w:b/>
          <w:bCs/>
          <w:sz w:val="32"/>
          <w:szCs w:val="32"/>
        </w:rPr>
      </w:pPr>
      <w:bookmarkStart w:id="10" w:name="_Toc25764"/>
      <w:bookmarkEnd w:id="10"/>
      <w:r>
        <w:rPr>
          <w:rFonts w:ascii="楷体_GB2312" w:hAnsi="楷体_GB2312"/>
          <w:b/>
          <w:bCs/>
          <w:sz w:val="32"/>
          <w:szCs w:val="32"/>
        </w:rPr>
        <w:t>八、</w:t>
      </w:r>
      <w:r>
        <w:rPr>
          <w:rFonts w:hint="eastAsia" w:ascii="楷体_GB2312" w:hAnsi="楷体_GB2312"/>
          <w:b/>
          <w:bCs/>
          <w:sz w:val="32"/>
          <w:szCs w:val="32"/>
        </w:rPr>
        <w:t>淮北</w:t>
      </w:r>
      <w:r>
        <w:rPr>
          <w:rFonts w:ascii="楷体_GB2312" w:hAnsi="楷体_GB2312"/>
          <w:b/>
          <w:bCs/>
          <w:sz w:val="32"/>
          <w:szCs w:val="32"/>
        </w:rPr>
        <w:t>市公共资源交易平台建设工程板块数据录入注意事项</w:t>
      </w:r>
    </w:p>
    <w:tbl>
      <w:tblPr>
        <w:tblStyle w:val="8"/>
        <w:tblW w:w="0" w:type="auto"/>
        <w:jc w:val="center"/>
        <w:tblLayout w:type="autofit"/>
        <w:tblCellMar>
          <w:top w:w="0" w:type="dxa"/>
          <w:left w:w="108" w:type="dxa"/>
          <w:bottom w:w="0" w:type="dxa"/>
          <w:right w:w="108" w:type="dxa"/>
        </w:tblCellMar>
      </w:tblPr>
      <w:tblGrid>
        <w:gridCol w:w="826"/>
        <w:gridCol w:w="779"/>
        <w:gridCol w:w="1694"/>
        <w:gridCol w:w="5084"/>
        <w:gridCol w:w="5791"/>
      </w:tblGrid>
      <w:tr>
        <w:tblPrEx>
          <w:tblCellMar>
            <w:top w:w="0" w:type="dxa"/>
            <w:left w:w="108" w:type="dxa"/>
            <w:bottom w:w="0" w:type="dxa"/>
            <w:right w:w="108" w:type="dxa"/>
          </w:tblCellMar>
        </w:tblPrEx>
        <w:trPr>
          <w:jc w:val="center"/>
        </w:trPr>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color w:val="FF0000"/>
                <w:sz w:val="24"/>
                <w:szCs w:val="24"/>
              </w:rPr>
            </w:pPr>
            <w:r>
              <w:rPr>
                <w:rFonts w:hint="eastAsia" w:ascii="仿宋" w:hAnsi="仿宋" w:eastAsia="仿宋"/>
                <w:b/>
                <w:bCs/>
                <w:color w:val="FF0000"/>
                <w:sz w:val="24"/>
                <w:szCs w:val="24"/>
              </w:rPr>
              <w:t>系统板块</w:t>
            </w:r>
          </w:p>
        </w:tc>
        <w:tc>
          <w:tcPr>
            <w:tcW w:w="7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color w:val="FF0000"/>
                <w:sz w:val="24"/>
                <w:szCs w:val="24"/>
              </w:rPr>
            </w:pPr>
            <w:r>
              <w:rPr>
                <w:rFonts w:hint="eastAsia" w:ascii="仿宋" w:hAnsi="仿宋" w:eastAsia="仿宋"/>
                <w:b/>
                <w:bCs/>
                <w:color w:val="FF0000"/>
                <w:sz w:val="24"/>
                <w:szCs w:val="24"/>
              </w:rPr>
              <w:t>环节</w:t>
            </w:r>
          </w:p>
        </w:tc>
        <w:tc>
          <w:tcPr>
            <w:tcW w:w="16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color w:val="FF0000"/>
                <w:sz w:val="24"/>
                <w:szCs w:val="24"/>
              </w:rPr>
            </w:pPr>
            <w:r>
              <w:rPr>
                <w:rFonts w:hint="eastAsia" w:ascii="仿宋" w:hAnsi="仿宋" w:eastAsia="仿宋"/>
                <w:b/>
                <w:bCs/>
                <w:color w:val="FF0000"/>
                <w:sz w:val="24"/>
                <w:szCs w:val="24"/>
              </w:rPr>
              <w:t>系统字段</w:t>
            </w:r>
          </w:p>
        </w:tc>
        <w:tc>
          <w:tcPr>
            <w:tcW w:w="50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color w:val="FF0000"/>
                <w:sz w:val="24"/>
                <w:szCs w:val="24"/>
              </w:rPr>
            </w:pPr>
            <w:r>
              <w:rPr>
                <w:rFonts w:hint="eastAsia" w:ascii="仿宋" w:hAnsi="仿宋" w:eastAsia="仿宋"/>
                <w:b/>
                <w:bCs/>
                <w:color w:val="FF0000"/>
                <w:sz w:val="24"/>
                <w:szCs w:val="24"/>
              </w:rPr>
              <w:t>录入要求</w:t>
            </w:r>
          </w:p>
        </w:tc>
        <w:tc>
          <w:tcPr>
            <w:tcW w:w="57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color w:val="FF0000"/>
                <w:sz w:val="24"/>
                <w:szCs w:val="24"/>
              </w:rPr>
            </w:pPr>
            <w:r>
              <w:rPr>
                <w:rFonts w:hint="eastAsia" w:ascii="仿宋" w:hAnsi="仿宋" w:eastAsia="仿宋"/>
                <w:b/>
                <w:bCs/>
                <w:color w:val="FF0000"/>
                <w:sz w:val="24"/>
                <w:szCs w:val="24"/>
              </w:rPr>
              <w:t>注意事项</w:t>
            </w:r>
          </w:p>
        </w:tc>
      </w:tr>
      <w:tr>
        <w:tblPrEx>
          <w:tblCellMar>
            <w:top w:w="0" w:type="dxa"/>
            <w:left w:w="108" w:type="dxa"/>
            <w:bottom w:w="0" w:type="dxa"/>
            <w:right w:w="108" w:type="dxa"/>
          </w:tblCellMar>
        </w:tblPrEx>
        <w:trPr>
          <w:jc w:val="center"/>
        </w:trPr>
        <w:tc>
          <w:tcPr>
            <w:tcW w:w="826"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建设工程</w:t>
            </w:r>
          </w:p>
        </w:tc>
        <w:tc>
          <w:tcPr>
            <w:tcW w:w="779"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项目受理</w:t>
            </w:r>
          </w:p>
        </w:tc>
        <w:tc>
          <w:tcPr>
            <w:tcW w:w="16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项目行业分类</w:t>
            </w:r>
          </w:p>
        </w:tc>
        <w:tc>
          <w:tcPr>
            <w:tcW w:w="50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根据招标项目所属的行业进行选择。</w:t>
            </w:r>
          </w:p>
        </w:tc>
        <w:tc>
          <w:tcPr>
            <w:tcW w:w="57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此选项非选择业主单位的性质，如业主单位是行政单位，如招标的项目是建筑业，就要在建筑业下拉框中选择相应的行业。代理机构注意是否选择正确，受理审核人员要注意是否选择正确。</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16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项目所属行政区划</w:t>
            </w:r>
          </w:p>
        </w:tc>
        <w:tc>
          <w:tcPr>
            <w:tcW w:w="50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选择项目所在的行政区划。</w:t>
            </w:r>
          </w:p>
        </w:tc>
        <w:tc>
          <w:tcPr>
            <w:tcW w:w="57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1.各代理机构或招标采购人在项目注册提交时选择的“项目行政区划”必须准确，受理审核人员受理时必须要注意此选项。</w:t>
            </w:r>
          </w:p>
          <w:p>
            <w:pPr>
              <w:rPr>
                <w:rFonts w:ascii="仿宋" w:hAnsi="仿宋" w:eastAsia="仿宋"/>
                <w:sz w:val="24"/>
                <w:szCs w:val="24"/>
              </w:rPr>
            </w:pPr>
            <w:r>
              <w:rPr>
                <w:rFonts w:hint="eastAsia" w:ascii="仿宋" w:hAnsi="仿宋" w:eastAsia="仿宋"/>
                <w:sz w:val="24"/>
                <w:szCs w:val="24"/>
              </w:rPr>
              <w:t>2.如县里的项目在市交易中心进行交易，该项目行政区划必须选择所对应的县，不能选择市辖区。</w:t>
            </w:r>
          </w:p>
          <w:p>
            <w:pPr>
              <w:rPr>
                <w:rFonts w:ascii="仿宋" w:hAnsi="仿宋" w:eastAsia="仿宋"/>
                <w:sz w:val="24"/>
                <w:szCs w:val="24"/>
              </w:rPr>
            </w:pPr>
            <w:r>
              <w:rPr>
                <w:rFonts w:hint="eastAsia" w:ascii="仿宋" w:hAnsi="仿宋" w:eastAsia="仿宋"/>
                <w:sz w:val="24"/>
                <w:szCs w:val="24"/>
              </w:rPr>
              <w:t>3.如项目由上级部门进行招标采购，实际签署合同和付款单位都是县里面的对应单位，该项目行政区划必须选择所对应的县，不能选择市辖区。</w:t>
            </w:r>
          </w:p>
          <w:p>
            <w:pPr>
              <w:rPr>
                <w:rFonts w:ascii="仿宋" w:hAnsi="仿宋" w:eastAsia="仿宋"/>
                <w:sz w:val="24"/>
                <w:szCs w:val="24"/>
              </w:rPr>
            </w:pPr>
            <w:r>
              <w:rPr>
                <w:rFonts w:hint="eastAsia" w:ascii="仿宋" w:hAnsi="仿宋" w:eastAsia="仿宋"/>
                <w:sz w:val="24"/>
                <w:szCs w:val="24"/>
              </w:rPr>
              <w:t>4.跨平台进行交易的项目，“项目所属行政区划”应当按照项目属地的行政区划填写。此类项目受理前与市交易中心业务管理科进行联系。</w:t>
            </w:r>
          </w:p>
          <w:p>
            <w:pPr>
              <w:rPr>
                <w:rFonts w:ascii="仿宋" w:hAnsi="仿宋" w:eastAsia="仿宋"/>
                <w:sz w:val="24"/>
                <w:szCs w:val="24"/>
              </w:rPr>
            </w:pPr>
            <w:r>
              <w:rPr>
                <w:rFonts w:hint="eastAsia" w:ascii="仿宋" w:hAnsi="仿宋" w:eastAsia="仿宋"/>
                <w:sz w:val="24"/>
                <w:szCs w:val="24"/>
              </w:rPr>
              <w:t>5.若一个项目涉及几个行政区划，可以根据项目内容中哪个行政区划占比大就选择占比大的行政区划作为整个项目的行政区划。</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16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项目交易分类</w:t>
            </w:r>
          </w:p>
        </w:tc>
        <w:tc>
          <w:tcPr>
            <w:tcW w:w="50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可以选择房屋建筑、市政、公路、铁路、民航、水运、水利、能源、邮电通信、桥梁、城市轨道、矿产冶金、信息网络、工业制造、其他。</w:t>
            </w:r>
          </w:p>
        </w:tc>
        <w:tc>
          <w:tcPr>
            <w:tcW w:w="57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根据项目实际情况进行选择。</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16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工程项目类型</w:t>
            </w:r>
          </w:p>
        </w:tc>
        <w:tc>
          <w:tcPr>
            <w:tcW w:w="50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可以选择房建、市政、公路、铁路、民航、水运、水利、能源、邮电通信、其他。</w:t>
            </w:r>
          </w:p>
        </w:tc>
        <w:tc>
          <w:tcPr>
            <w:tcW w:w="57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参见本手册第一部分工程项目类型分类。</w:t>
            </w:r>
          </w:p>
          <w:p>
            <w:pPr>
              <w:rPr>
                <w:rFonts w:ascii="仿宋" w:hAnsi="仿宋" w:eastAsia="仿宋"/>
                <w:sz w:val="24"/>
                <w:szCs w:val="24"/>
              </w:rPr>
            </w:pPr>
            <w:r>
              <w:rPr>
                <w:rFonts w:hint="eastAsia" w:ascii="仿宋" w:hAnsi="仿宋" w:eastAsia="仿宋"/>
                <w:sz w:val="24"/>
                <w:szCs w:val="24"/>
              </w:rPr>
              <w:t>1.代理要按照上述要求并根据项目实际情况选择正确的工程项目类型，受理审核人员要注意是否选择正确。</w:t>
            </w:r>
          </w:p>
          <w:p>
            <w:pPr>
              <w:rPr>
                <w:rFonts w:ascii="仿宋" w:hAnsi="仿宋" w:eastAsia="仿宋"/>
                <w:sz w:val="24"/>
                <w:szCs w:val="24"/>
              </w:rPr>
            </w:pPr>
            <w:r>
              <w:rPr>
                <w:rFonts w:hint="eastAsia" w:ascii="仿宋" w:hAnsi="仿宋" w:eastAsia="仿宋"/>
                <w:sz w:val="24"/>
                <w:szCs w:val="24"/>
              </w:rPr>
              <w:t>2.若一个项目的附属工程要招标，附属工程的项目类型根据主项目来进行选择，如某项目的主项目是房建，其附属配电项目的工程项目类型要选房建而不能选能源。</w:t>
            </w:r>
          </w:p>
          <w:p>
            <w:pPr>
              <w:rPr>
                <w:rFonts w:ascii="仿宋" w:hAnsi="仿宋" w:eastAsia="仿宋"/>
                <w:sz w:val="24"/>
                <w:szCs w:val="24"/>
              </w:rPr>
            </w:pPr>
            <w:r>
              <w:rPr>
                <w:rFonts w:hint="eastAsia" w:ascii="仿宋" w:hAnsi="仿宋" w:eastAsia="仿宋"/>
                <w:sz w:val="24"/>
                <w:szCs w:val="24"/>
              </w:rPr>
              <w:t>3.若一个项目涉及两个项目类型，可以根据哪个类型占比大就选择占比大的类型作为整个项目的项目类型。</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16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招标组织形式</w:t>
            </w:r>
          </w:p>
        </w:tc>
        <w:tc>
          <w:tcPr>
            <w:tcW w:w="50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可以选择自行招标、委托招标。</w:t>
            </w:r>
          </w:p>
        </w:tc>
        <w:tc>
          <w:tcPr>
            <w:tcW w:w="57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进交易平台的项目基本上都是委托招标，自行招标是由招标人自己组织开展招投标活动，没有委托代理机构进行操作。</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16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是否省</w:t>
            </w:r>
            <w:r>
              <w:rPr>
                <w:rFonts w:hint="eastAsia" w:ascii="仿宋" w:hAnsi="仿宋" w:eastAsia="仿宋"/>
                <w:color w:val="0000FF"/>
                <w:sz w:val="24"/>
                <w:szCs w:val="24"/>
              </w:rPr>
              <w:t>、</w:t>
            </w:r>
            <w:r>
              <w:rPr>
                <w:rFonts w:hint="eastAsia" w:ascii="仿宋" w:hAnsi="仿宋" w:eastAsia="仿宋"/>
                <w:sz w:val="24"/>
                <w:szCs w:val="24"/>
              </w:rPr>
              <w:t>市重点</w:t>
            </w:r>
          </w:p>
        </w:tc>
        <w:tc>
          <w:tcPr>
            <w:tcW w:w="50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可以选择是或者否。</w:t>
            </w:r>
          </w:p>
        </w:tc>
        <w:tc>
          <w:tcPr>
            <w:tcW w:w="57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如选择是要有相关资料支撑项目确实属于省重点项目或市重点项目。</w:t>
            </w:r>
          </w:p>
        </w:tc>
      </w:tr>
      <w:tr>
        <w:tblPrEx>
          <w:tblCellMar>
            <w:top w:w="0" w:type="dxa"/>
            <w:left w:w="108" w:type="dxa"/>
            <w:bottom w:w="0" w:type="dxa"/>
            <w:right w:w="108" w:type="dxa"/>
          </w:tblCellMar>
        </w:tblPrEx>
        <w:trPr>
          <w:trHeight w:val="393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16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投资主体性质</w:t>
            </w:r>
          </w:p>
        </w:tc>
        <w:tc>
          <w:tcPr>
            <w:tcW w:w="50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可以政府、企业、其他。</w:t>
            </w:r>
          </w:p>
        </w:tc>
        <w:tc>
          <w:tcPr>
            <w:tcW w:w="57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按照投资主体定义判断，政府投资是指政府机关、事业单位使用财政性资金和由政府负责偿还债务的借贷资金的投资项目，企业投资是指企业使用企业自有资金和由企业负责偿还债务的借贷资金的投资项目。其他情况属于其他。</w:t>
            </w:r>
          </w:p>
          <w:p>
            <w:pPr>
              <w:rPr>
                <w:rFonts w:ascii="仿宋" w:hAnsi="仿宋" w:eastAsia="仿宋"/>
                <w:sz w:val="24"/>
                <w:szCs w:val="24"/>
              </w:rPr>
            </w:pPr>
            <w:r>
              <w:rPr>
                <w:rFonts w:hint="eastAsia" w:ascii="仿宋" w:hAnsi="仿宋" w:eastAsia="仿宋"/>
                <w:sz w:val="24"/>
                <w:szCs w:val="24"/>
              </w:rPr>
              <w:t>1.招标人是政府部门，使用财政性资金和由政府负责偿还债务的借贷资金的政府机关、事业单位等投资的项目选择“政府”。</w:t>
            </w:r>
          </w:p>
          <w:p>
            <w:pPr>
              <w:rPr>
                <w:rFonts w:ascii="仿宋" w:hAnsi="仿宋" w:eastAsia="仿宋"/>
                <w:sz w:val="24"/>
                <w:szCs w:val="24"/>
              </w:rPr>
            </w:pPr>
            <w:r>
              <w:rPr>
                <w:rFonts w:hint="eastAsia" w:ascii="仿宋" w:hAnsi="仿宋" w:eastAsia="仿宋"/>
                <w:sz w:val="24"/>
                <w:szCs w:val="24"/>
              </w:rPr>
              <w:t>2.招标人是国有企业，使用企业自有资金和由企业负责偿还债务的借贷资金的企业投资的项目选择“企业”。</w:t>
            </w:r>
          </w:p>
          <w:p>
            <w:pPr>
              <w:rPr>
                <w:rFonts w:ascii="仿宋" w:hAnsi="仿宋" w:eastAsia="仿宋"/>
                <w:sz w:val="24"/>
                <w:szCs w:val="24"/>
              </w:rPr>
            </w:pPr>
            <w:r>
              <w:rPr>
                <w:rFonts w:hint="eastAsia" w:ascii="仿宋" w:hAnsi="仿宋" w:eastAsia="仿宋"/>
                <w:sz w:val="24"/>
                <w:szCs w:val="24"/>
              </w:rPr>
              <w:t>3.除政府投资、企业投资外的其它项目选择“其他”。4.招标人是政府部门，资金性质是企业自筹资金或者招标人是国有企业，资金性质是财政性资金（企业自筹+财政性资金）的项目选择“其他”。</w:t>
            </w:r>
          </w:p>
          <w:p>
            <w:pPr>
              <w:rPr>
                <w:rFonts w:ascii="仿宋" w:hAnsi="仿宋" w:eastAsia="仿宋"/>
                <w:sz w:val="24"/>
                <w:szCs w:val="24"/>
              </w:rPr>
            </w:pPr>
            <w:r>
              <w:rPr>
                <w:rFonts w:hint="eastAsia" w:ascii="仿宋" w:hAnsi="仿宋" w:eastAsia="仿宋"/>
                <w:sz w:val="24"/>
                <w:szCs w:val="24"/>
              </w:rPr>
              <w:t>工程建设板块招标人是多个的情况下，工程项目受理投资主体性质选择中，如果招标人是政府部门和国有企业组成，资金是企业自筹资金，这种情况下投资主体性质是选企业。如果招标人是政府部门和国有企业组成，资金是政府性资金或者政策性银行贷款资金或者贴息贷款资金，这种情况下投资主体性质是选政府。</w:t>
            </w:r>
          </w:p>
        </w:tc>
      </w:tr>
      <w:tr>
        <w:tblPrEx>
          <w:tblCellMar>
            <w:top w:w="0" w:type="dxa"/>
            <w:left w:w="108" w:type="dxa"/>
            <w:bottom w:w="0" w:type="dxa"/>
            <w:right w:w="108" w:type="dxa"/>
          </w:tblCellMar>
        </w:tblPrEx>
        <w:trPr>
          <w:trHeight w:val="639"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16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资金来源</w:t>
            </w:r>
          </w:p>
        </w:tc>
        <w:tc>
          <w:tcPr>
            <w:tcW w:w="50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可以在财政、企业自筹选项中进行选择。</w:t>
            </w:r>
          </w:p>
        </w:tc>
        <w:tc>
          <w:tcPr>
            <w:tcW w:w="57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受理人员注意该选项是否和受理提交的资金证明材料中的资金来源一致，若不一致请退回。</w:t>
            </w:r>
          </w:p>
        </w:tc>
      </w:tr>
      <w:tr>
        <w:tblPrEx>
          <w:tblCellMar>
            <w:top w:w="0" w:type="dxa"/>
            <w:left w:w="108" w:type="dxa"/>
            <w:bottom w:w="0" w:type="dxa"/>
            <w:right w:w="108" w:type="dxa"/>
          </w:tblCellMar>
        </w:tblPrEx>
        <w:trPr>
          <w:trHeight w:val="63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16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项目层级</w:t>
            </w:r>
          </w:p>
        </w:tc>
        <w:tc>
          <w:tcPr>
            <w:tcW w:w="50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可以选择省级、市级和县级。</w:t>
            </w:r>
          </w:p>
        </w:tc>
        <w:tc>
          <w:tcPr>
            <w:tcW w:w="57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市辖区项目层级选择市级，各县（市）</w:t>
            </w:r>
            <w:r>
              <w:rPr>
                <w:rFonts w:hint="eastAsia" w:ascii="仿宋" w:hAnsi="仿宋" w:eastAsia="仿宋"/>
                <w:color w:val="0000FF"/>
                <w:sz w:val="24"/>
                <w:szCs w:val="24"/>
              </w:rPr>
              <w:t>、</w:t>
            </w:r>
            <w:r>
              <w:rPr>
                <w:rFonts w:hint="eastAsia" w:ascii="仿宋" w:hAnsi="仿宋" w:eastAsia="仿宋"/>
                <w:sz w:val="24"/>
                <w:szCs w:val="24"/>
              </w:rPr>
              <w:t>区项目选择县级，省直单位项目层级选择省级。垂直单位项目层级可以选择市级，如国家税务总局淮北市税务局。</w:t>
            </w:r>
          </w:p>
        </w:tc>
      </w:tr>
      <w:tr>
        <w:tblPrEx>
          <w:tblCellMar>
            <w:top w:w="0" w:type="dxa"/>
            <w:left w:w="108" w:type="dxa"/>
            <w:bottom w:w="0" w:type="dxa"/>
            <w:right w:w="108" w:type="dxa"/>
          </w:tblCellMar>
        </w:tblPrEx>
        <w:trPr>
          <w:trHeight w:val="31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16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招标人类别、单位类型</w:t>
            </w:r>
          </w:p>
        </w:tc>
        <w:tc>
          <w:tcPr>
            <w:tcW w:w="50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注意招标人类别和单位类型是否选择正确。</w:t>
            </w:r>
          </w:p>
        </w:tc>
        <w:tc>
          <w:tcPr>
            <w:tcW w:w="57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注意招标人类别一般都是法人。注意若招标人是国有企业，单位类型应选择国有企业；若招标人是某人民政府，单位类型应选择行政机关；若招标人是事业单位，单位类型应选择事业单位。</w:t>
            </w:r>
          </w:p>
        </w:tc>
      </w:tr>
      <w:tr>
        <w:tblPrEx>
          <w:tblCellMar>
            <w:top w:w="0" w:type="dxa"/>
            <w:left w:w="108" w:type="dxa"/>
            <w:bottom w:w="0" w:type="dxa"/>
            <w:right w:w="108" w:type="dxa"/>
          </w:tblCellMar>
        </w:tblPrEx>
        <w:trPr>
          <w:jc w:val="center"/>
        </w:trPr>
        <w:tc>
          <w:tcPr>
            <w:tcW w:w="826"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b/>
                <w:bCs/>
                <w:sz w:val="24"/>
                <w:szCs w:val="24"/>
              </w:rPr>
            </w:pPr>
          </w:p>
        </w:tc>
        <w:tc>
          <w:tcPr>
            <w:tcW w:w="779"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项目受理</w:t>
            </w:r>
          </w:p>
        </w:tc>
        <w:tc>
          <w:tcPr>
            <w:tcW w:w="16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交易分类子项</w:t>
            </w:r>
          </w:p>
        </w:tc>
        <w:tc>
          <w:tcPr>
            <w:tcW w:w="50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可以选择：施工、货物、服务。</w:t>
            </w:r>
          </w:p>
        </w:tc>
        <w:tc>
          <w:tcPr>
            <w:tcW w:w="579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r>
              <w:rPr>
                <w:rFonts w:hint="eastAsia" w:ascii="仿宋_GB2312" w:hAnsi="Times New Roman" w:eastAsia="仿宋_GB2312"/>
                <w:sz w:val="24"/>
                <w:szCs w:val="24"/>
              </w:rPr>
              <w:t>项目是施工就选择施工，项目是货物采购就选择货物，项目是监理、设计等就选择服务。</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16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是否支持电子投标保函和履约保函</w:t>
            </w:r>
          </w:p>
        </w:tc>
        <w:tc>
          <w:tcPr>
            <w:tcW w:w="50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此两项选择系统默认选是。</w:t>
            </w:r>
          </w:p>
        </w:tc>
        <w:tc>
          <w:tcPr>
            <w:tcW w:w="579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r>
              <w:rPr>
                <w:rFonts w:hint="eastAsia" w:ascii="仿宋_GB2312" w:hAnsi="Times New Roman" w:eastAsia="仿宋_GB2312"/>
                <w:sz w:val="24"/>
                <w:szCs w:val="24"/>
              </w:rPr>
              <w:t>根据项目实际情况进行调整。</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16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投资项目统一代码</w:t>
            </w:r>
          </w:p>
        </w:tc>
        <w:tc>
          <w:tcPr>
            <w:tcW w:w="50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填写发改委批复的项目编码共24位</w:t>
            </w:r>
          </w:p>
        </w:tc>
        <w:tc>
          <w:tcPr>
            <w:tcW w:w="57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如果如填写必须保证代码准确，受理人员必须确认该代码和立项批复的代码是否一致。</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16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招标方式</w:t>
            </w:r>
          </w:p>
        </w:tc>
        <w:tc>
          <w:tcPr>
            <w:tcW w:w="50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可以选择公开招标、邀请招标、其他。</w:t>
            </w:r>
          </w:p>
        </w:tc>
        <w:tc>
          <w:tcPr>
            <w:tcW w:w="57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招标方式不要选择其他。受理审核人员看到招标方式选择其他的都应该要问明情况，确认是否选择正确。</w:t>
            </w:r>
          </w:p>
        </w:tc>
      </w:tr>
      <w:tr>
        <w:tblPrEx>
          <w:tblCellMar>
            <w:top w:w="0" w:type="dxa"/>
            <w:left w:w="108" w:type="dxa"/>
            <w:bottom w:w="0" w:type="dxa"/>
            <w:right w:w="108" w:type="dxa"/>
          </w:tblCellMar>
        </w:tblPrEx>
        <w:trPr>
          <w:jc w:val="center"/>
        </w:trPr>
        <w:tc>
          <w:tcPr>
            <w:tcW w:w="826"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b/>
                <w:bCs/>
                <w:sz w:val="24"/>
                <w:szCs w:val="24"/>
              </w:rPr>
            </w:pPr>
          </w:p>
        </w:tc>
        <w:tc>
          <w:tcPr>
            <w:tcW w:w="779"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招标公告</w:t>
            </w:r>
          </w:p>
        </w:tc>
        <w:tc>
          <w:tcPr>
            <w:tcW w:w="16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公告类型</w:t>
            </w:r>
          </w:p>
        </w:tc>
        <w:tc>
          <w:tcPr>
            <w:tcW w:w="50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系统按照菜单模块自动推送。</w:t>
            </w:r>
          </w:p>
        </w:tc>
        <w:tc>
          <w:tcPr>
            <w:tcW w:w="57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16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公告性质</w:t>
            </w:r>
          </w:p>
        </w:tc>
        <w:tc>
          <w:tcPr>
            <w:tcW w:w="50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系统按照菜单模块自动推送。</w:t>
            </w:r>
          </w:p>
        </w:tc>
        <w:tc>
          <w:tcPr>
            <w:tcW w:w="57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96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16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是否允许联合体投标</w:t>
            </w:r>
          </w:p>
        </w:tc>
        <w:tc>
          <w:tcPr>
            <w:tcW w:w="50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可以选择是或者否。</w:t>
            </w:r>
          </w:p>
        </w:tc>
        <w:tc>
          <w:tcPr>
            <w:tcW w:w="57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按照实际选择是否允许联合体投标。</w:t>
            </w:r>
          </w:p>
        </w:tc>
      </w:tr>
      <w:tr>
        <w:tblPrEx>
          <w:tblCellMar>
            <w:top w:w="0" w:type="dxa"/>
            <w:left w:w="108" w:type="dxa"/>
            <w:bottom w:w="0" w:type="dxa"/>
            <w:right w:w="108" w:type="dxa"/>
          </w:tblCellMar>
        </w:tblPrEx>
        <w:trPr>
          <w:trHeight w:val="327"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24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答疑澄清</w:t>
            </w:r>
          </w:p>
        </w:tc>
        <w:tc>
          <w:tcPr>
            <w:tcW w:w="50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需要制作HBCF答疑文件时才需要从该模块新增信息。</w:t>
            </w:r>
          </w:p>
        </w:tc>
        <w:tc>
          <w:tcPr>
            <w:tcW w:w="57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若有公告或者文件修改请走答疑澄清模块发布信息，如需要重新制作招标文件的情况走制作答疑澄清模块，如不需要重新制作招标文件的情况下走新增答疑澄清模块。</w:t>
            </w:r>
          </w:p>
        </w:tc>
      </w:tr>
      <w:tr>
        <w:tblPrEx>
          <w:tblCellMar>
            <w:top w:w="0" w:type="dxa"/>
            <w:left w:w="108" w:type="dxa"/>
            <w:bottom w:w="0" w:type="dxa"/>
            <w:right w:w="108" w:type="dxa"/>
          </w:tblCellMar>
        </w:tblPrEx>
        <w:trPr>
          <w:trHeight w:val="411"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7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评委组建申请</w:t>
            </w:r>
          </w:p>
        </w:tc>
        <w:tc>
          <w:tcPr>
            <w:tcW w:w="6778"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开标前必须完成评委组建申请。准确选择集合时间、集合地点、抽取专业和人数。</w:t>
            </w:r>
          </w:p>
        </w:tc>
        <w:tc>
          <w:tcPr>
            <w:tcW w:w="579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p>
        </w:tc>
      </w:tr>
      <w:tr>
        <w:tblPrEx>
          <w:tblCellMar>
            <w:top w:w="0" w:type="dxa"/>
            <w:left w:w="108" w:type="dxa"/>
            <w:bottom w:w="0" w:type="dxa"/>
            <w:right w:w="108" w:type="dxa"/>
          </w:tblCellMar>
        </w:tblPrEx>
        <w:trPr>
          <w:trHeight w:val="223"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7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评委录入</w:t>
            </w:r>
          </w:p>
        </w:tc>
        <w:tc>
          <w:tcPr>
            <w:tcW w:w="6778"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评标评审活动中录入，并在开标后第二天工作时间段内录入评委费信息。</w:t>
            </w:r>
          </w:p>
        </w:tc>
        <w:tc>
          <w:tcPr>
            <w:tcW w:w="579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p>
        </w:tc>
      </w:tr>
      <w:tr>
        <w:tblPrEx>
          <w:tblCellMar>
            <w:top w:w="0" w:type="dxa"/>
            <w:left w:w="108" w:type="dxa"/>
            <w:bottom w:w="0" w:type="dxa"/>
            <w:right w:w="108" w:type="dxa"/>
          </w:tblCellMar>
        </w:tblPrEx>
        <w:trPr>
          <w:trHeight w:val="649"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7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开标情况</w:t>
            </w:r>
          </w:p>
        </w:tc>
        <w:tc>
          <w:tcPr>
            <w:tcW w:w="6778"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当天开标完成之后完成录入。</w:t>
            </w:r>
          </w:p>
        </w:tc>
        <w:tc>
          <w:tcPr>
            <w:tcW w:w="579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p>
        </w:tc>
      </w:tr>
      <w:tr>
        <w:tblPrEx>
          <w:tblCellMar>
            <w:top w:w="0" w:type="dxa"/>
            <w:left w:w="108" w:type="dxa"/>
            <w:bottom w:w="0" w:type="dxa"/>
            <w:right w:w="108" w:type="dxa"/>
          </w:tblCellMar>
        </w:tblPrEx>
        <w:trPr>
          <w:trHeight w:val="34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7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评标情况</w:t>
            </w:r>
          </w:p>
        </w:tc>
        <w:tc>
          <w:tcPr>
            <w:tcW w:w="6778" w:type="dxa"/>
            <w:gridSpan w:val="2"/>
            <w:vMerge w:val="restart"/>
            <w:tcBorders>
              <w:top w:val="nil"/>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若项目在当天下午下班前评标结束，则当天录入信息；若评标第二天结束，则应在第二天上班后完成信息录入。</w:t>
            </w:r>
          </w:p>
        </w:tc>
        <w:tc>
          <w:tcPr>
            <w:tcW w:w="5791" w:type="dxa"/>
            <w:vMerge w:val="restart"/>
            <w:tcBorders>
              <w:top w:val="nil"/>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p>
        </w:tc>
      </w:tr>
      <w:tr>
        <w:tblPrEx>
          <w:tblCellMar>
            <w:top w:w="0" w:type="dxa"/>
            <w:left w:w="108" w:type="dxa"/>
            <w:bottom w:w="0" w:type="dxa"/>
            <w:right w:w="108" w:type="dxa"/>
          </w:tblCellMar>
        </w:tblPrEx>
        <w:trPr>
          <w:trHeight w:val="24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7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评标报告录入</w:t>
            </w: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sz w:val="24"/>
                <w:szCs w:val="24"/>
              </w:rPr>
            </w:pPr>
          </w:p>
        </w:tc>
      </w:tr>
      <w:tr>
        <w:tblPrEx>
          <w:tblCellMar>
            <w:top w:w="0" w:type="dxa"/>
            <w:left w:w="108" w:type="dxa"/>
            <w:bottom w:w="0" w:type="dxa"/>
            <w:right w:w="108" w:type="dxa"/>
          </w:tblCellMar>
        </w:tblPrEx>
        <w:trPr>
          <w:trHeight w:val="206" w:hRule="atLeast"/>
          <w:jc w:val="center"/>
        </w:trPr>
        <w:tc>
          <w:tcPr>
            <w:tcW w:w="826"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b/>
                <w:bCs/>
                <w:sz w:val="24"/>
                <w:szCs w:val="24"/>
              </w:rPr>
            </w:pPr>
          </w:p>
        </w:tc>
        <w:tc>
          <w:tcPr>
            <w:tcW w:w="779"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b/>
                <w:bCs/>
                <w:sz w:val="24"/>
                <w:szCs w:val="24"/>
              </w:rPr>
            </w:pPr>
            <w:r>
              <w:rPr>
                <w:rFonts w:hint="eastAsia" w:ascii="宋体" w:hAnsi="宋体"/>
                <w:b/>
                <w:bCs/>
              </w:rPr>
              <w:t>中标候选人公示</w:t>
            </w:r>
          </w:p>
        </w:tc>
        <w:tc>
          <w:tcPr>
            <w:tcW w:w="16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公示开始时间</w:t>
            </w:r>
          </w:p>
        </w:tc>
        <w:tc>
          <w:tcPr>
            <w:tcW w:w="5084" w:type="dxa"/>
            <w:vMerge w:val="restart"/>
            <w:tcBorders>
              <w:top w:val="nil"/>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同一天</w:t>
            </w:r>
          </w:p>
        </w:tc>
        <w:tc>
          <w:tcPr>
            <w:tcW w:w="5791" w:type="dxa"/>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r>
              <w:rPr>
                <w:rFonts w:hint="eastAsia" w:ascii="仿宋_GB2312" w:hAnsi="Times New Roman" w:eastAsia="仿宋_GB2312"/>
                <w:sz w:val="24"/>
                <w:szCs w:val="24"/>
              </w:rPr>
              <w:t>审核人员注意该时间是否为同一天，同时注意公示结束时间与公示开始时间是否有逻辑错误。</w:t>
            </w:r>
          </w:p>
        </w:tc>
      </w:tr>
      <w:tr>
        <w:tblPrEx>
          <w:tblCellMar>
            <w:top w:w="0" w:type="dxa"/>
            <w:left w:w="108" w:type="dxa"/>
            <w:bottom w:w="0" w:type="dxa"/>
            <w:right w:w="108" w:type="dxa"/>
          </w:tblCellMar>
        </w:tblPrEx>
        <w:trPr>
          <w:trHeight w:val="9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16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公示提交时间</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sz w:val="24"/>
                <w:szCs w:val="24"/>
              </w:rPr>
            </w:pPr>
          </w:p>
        </w:tc>
      </w:tr>
      <w:tr>
        <w:tblPrEx>
          <w:tblCellMar>
            <w:top w:w="0" w:type="dxa"/>
            <w:left w:w="108" w:type="dxa"/>
            <w:bottom w:w="0" w:type="dxa"/>
            <w:right w:w="108" w:type="dxa"/>
          </w:tblCellMar>
        </w:tblPrEx>
        <w:trPr>
          <w:trHeight w:val="9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16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公示发布时间</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sz w:val="24"/>
                <w:szCs w:val="24"/>
              </w:rPr>
            </w:pPr>
          </w:p>
        </w:tc>
      </w:tr>
      <w:tr>
        <w:tblPrEx>
          <w:tblCellMar>
            <w:top w:w="0" w:type="dxa"/>
            <w:left w:w="108" w:type="dxa"/>
            <w:bottom w:w="0" w:type="dxa"/>
            <w:right w:w="108" w:type="dxa"/>
          </w:tblCellMar>
        </w:tblPrEx>
        <w:trPr>
          <w:trHeight w:val="1219"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16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中标候选人联合体情况</w:t>
            </w:r>
          </w:p>
        </w:tc>
        <w:tc>
          <w:tcPr>
            <w:tcW w:w="50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若中标候选人公示内容中有联合体，必须在中标候选人列表中选择联合体组成单位（若投标单位在下载招标文件时已选择联合体组成单位，无需再次挑选，检查数据是否准确即可）。</w:t>
            </w:r>
          </w:p>
        </w:tc>
        <w:tc>
          <w:tcPr>
            <w:tcW w:w="579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r>
              <w:rPr>
                <w:rFonts w:hint="eastAsia" w:ascii="仿宋_GB2312" w:hAnsi="Times New Roman" w:eastAsia="仿宋_GB2312"/>
                <w:sz w:val="24"/>
                <w:szCs w:val="24"/>
              </w:rPr>
              <w:t>审核人员注意所有候选人的联合体成员单位是否均选择准确。</w:t>
            </w:r>
          </w:p>
        </w:tc>
      </w:tr>
      <w:tr>
        <w:tblPrEx>
          <w:tblCellMar>
            <w:top w:w="0" w:type="dxa"/>
            <w:left w:w="108" w:type="dxa"/>
            <w:bottom w:w="0" w:type="dxa"/>
            <w:right w:w="108" w:type="dxa"/>
          </w:tblCellMar>
        </w:tblPrEx>
        <w:trPr>
          <w:trHeight w:val="338"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779"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ascii="宋体" w:hAnsi="宋体"/>
                <w:b/>
                <w:bCs/>
              </w:rPr>
              <w:t>中标候选人变更公示</w:t>
            </w:r>
          </w:p>
        </w:tc>
        <w:tc>
          <w:tcPr>
            <w:tcW w:w="6778"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若中标候选人公示已经发布后，发现有错误或者需要变更，在系统的中标候选人变更公示环节进行变更。</w:t>
            </w:r>
          </w:p>
        </w:tc>
        <w:tc>
          <w:tcPr>
            <w:tcW w:w="579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r>
              <w:rPr>
                <w:rFonts w:hint="eastAsia" w:ascii="仿宋" w:hAnsi="仿宋" w:eastAsia="仿宋"/>
                <w:sz w:val="24"/>
                <w:szCs w:val="24"/>
              </w:rPr>
              <w:t>变更交易结果信息发布后请立即与市交易中心业务管理科、平台运维技术人员反馈，以便于检查变更数据是否推送正常。</w:t>
            </w:r>
          </w:p>
        </w:tc>
      </w:tr>
      <w:tr>
        <w:tblPrEx>
          <w:tblCellMar>
            <w:top w:w="0" w:type="dxa"/>
            <w:left w:w="108" w:type="dxa"/>
            <w:bottom w:w="0" w:type="dxa"/>
            <w:right w:w="108" w:type="dxa"/>
          </w:tblCellMar>
        </w:tblPrEx>
        <w:trPr>
          <w:trHeight w:val="90" w:hRule="atLeast"/>
          <w:jc w:val="center"/>
        </w:trPr>
        <w:tc>
          <w:tcPr>
            <w:tcW w:w="826"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b/>
                <w:bCs/>
                <w:sz w:val="24"/>
                <w:szCs w:val="24"/>
              </w:rPr>
            </w:pPr>
          </w:p>
        </w:tc>
        <w:tc>
          <w:tcPr>
            <w:tcW w:w="779" w:type="dxa"/>
            <w:vMerge w:val="restart"/>
            <w:tcBorders>
              <w:top w:val="nil"/>
              <w:left w:val="single" w:color="auto" w:sz="4" w:space="0"/>
              <w:bottom w:val="single" w:color="auto" w:sz="4" w:space="0"/>
              <w:right w:val="single" w:color="auto" w:sz="4" w:space="0"/>
            </w:tcBorders>
            <w:vAlign w:val="center"/>
          </w:tcPr>
          <w:p>
            <w:pPr>
              <w:jc w:val="center"/>
              <w:rPr>
                <w:b/>
                <w:bCs/>
              </w:rPr>
            </w:pPr>
            <w:r>
              <w:rPr>
                <w:rFonts w:hint="eastAsia" w:ascii="宋体" w:hAnsi="宋体"/>
                <w:b/>
                <w:bCs/>
              </w:rPr>
              <w:t>中标结果公示</w:t>
            </w:r>
          </w:p>
        </w:tc>
        <w:tc>
          <w:tcPr>
            <w:tcW w:w="6778"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公示开始时间，公示提交时间、公示发布时间必须同一天。</w:t>
            </w:r>
          </w:p>
        </w:tc>
        <w:tc>
          <w:tcPr>
            <w:tcW w:w="57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审核人员注意该时间是否为同一天，同时注意公示结束时间与公示开始时间是否有逻辑错误。</w:t>
            </w:r>
          </w:p>
        </w:tc>
      </w:tr>
      <w:tr>
        <w:tblPrEx>
          <w:tblCellMar>
            <w:top w:w="0" w:type="dxa"/>
            <w:left w:w="108" w:type="dxa"/>
            <w:bottom w:w="0" w:type="dxa"/>
            <w:right w:w="108" w:type="dxa"/>
          </w:tblCellMar>
        </w:tblPrEx>
        <w:trPr>
          <w:trHeight w:val="282"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b/>
                <w:bCs/>
              </w:rPr>
            </w:pPr>
          </w:p>
        </w:tc>
        <w:tc>
          <w:tcPr>
            <w:tcW w:w="6778"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联合体信息是否准确，联合体成员信息系统将从中标候选人公示联合体成员信息自动带入到中标结果公示环节，因此确保在中标候选人公示环节正确录入联合体成员信息。</w:t>
            </w:r>
          </w:p>
        </w:tc>
        <w:tc>
          <w:tcPr>
            <w:tcW w:w="57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审核人员注意公示内容中是否有联合体单位信息，检查公示内容中的中标单位、联合体信息是否与系统中的中标明细中的内容一致。</w:t>
            </w:r>
          </w:p>
        </w:tc>
      </w:tr>
      <w:tr>
        <w:tblPrEx>
          <w:tblCellMar>
            <w:top w:w="0" w:type="dxa"/>
            <w:left w:w="108" w:type="dxa"/>
            <w:bottom w:w="0" w:type="dxa"/>
            <w:right w:w="108" w:type="dxa"/>
          </w:tblCellMar>
        </w:tblPrEx>
        <w:trPr>
          <w:trHeight w:val="9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b/>
                <w:bCs/>
              </w:rPr>
            </w:pPr>
          </w:p>
        </w:tc>
        <w:tc>
          <w:tcPr>
            <w:tcW w:w="6778"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金额是否准确，费率、单价中标的项目要选择正确的价款形式且中标价格要进行折算，注意价格单位是否选择正确。</w:t>
            </w:r>
          </w:p>
        </w:tc>
        <w:tc>
          <w:tcPr>
            <w:tcW w:w="57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“中标结果公告”及变更页面的中标单位选择页面选择“价款形式代码”默认选中“金额形式”，代理可根据实际情况重新挑选。</w:t>
            </w:r>
          </w:p>
          <w:p>
            <w:pPr>
              <w:rPr>
                <w:rFonts w:ascii="仿宋" w:hAnsi="仿宋" w:eastAsia="仿宋"/>
                <w:sz w:val="24"/>
                <w:szCs w:val="24"/>
              </w:rPr>
            </w:pPr>
            <w:r>
              <w:rPr>
                <w:rFonts w:hint="eastAsia" w:ascii="仿宋" w:hAnsi="仿宋" w:eastAsia="仿宋"/>
                <w:sz w:val="24"/>
                <w:szCs w:val="24"/>
              </w:rPr>
              <w:t>注：“价款形式代码”与“费率或其他类型报价”无论填写下述哪种类型，“中标价格”和“最高投标限价”字段均为必填项，并且需换算为正确金额填写。</w:t>
            </w:r>
          </w:p>
          <w:p>
            <w:pPr>
              <w:rPr>
                <w:rFonts w:ascii="仿宋" w:hAnsi="仿宋" w:eastAsia="仿宋"/>
                <w:sz w:val="24"/>
                <w:szCs w:val="24"/>
              </w:rPr>
            </w:pPr>
            <w:r>
              <w:rPr>
                <w:rFonts w:hint="eastAsia" w:ascii="仿宋" w:hAnsi="仿宋" w:eastAsia="仿宋"/>
                <w:sz w:val="24"/>
                <w:szCs w:val="24"/>
              </w:rPr>
              <w:t>审核人员注意公示内容中的中标金额是否与系统中的中标明细中的中标金额一致，注意费率、单价项目价款形式是否选择正确且是否进行折算，注意价格单位是否准确。</w:t>
            </w:r>
          </w:p>
        </w:tc>
      </w:tr>
      <w:tr>
        <w:tblPrEx>
          <w:tblCellMar>
            <w:top w:w="0" w:type="dxa"/>
            <w:left w:w="108" w:type="dxa"/>
            <w:bottom w:w="0" w:type="dxa"/>
            <w:right w:w="108" w:type="dxa"/>
          </w:tblCellMar>
        </w:tblPrEx>
        <w:trPr>
          <w:trHeight w:val="31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779"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ascii="宋体" w:hAnsi="宋体"/>
                <w:b/>
                <w:bCs/>
              </w:rPr>
              <w:t>中标结果公告变更</w:t>
            </w:r>
          </w:p>
        </w:tc>
        <w:tc>
          <w:tcPr>
            <w:tcW w:w="6778"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若中标结果公示已经发布后，发现有错误或者需要变更，在系统的中标结果公告变更环节进行变更。</w:t>
            </w:r>
          </w:p>
        </w:tc>
        <w:tc>
          <w:tcPr>
            <w:tcW w:w="579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r>
              <w:rPr>
                <w:rFonts w:hint="eastAsia" w:ascii="仿宋_GB2312" w:hAnsi="Times New Roman" w:eastAsia="仿宋_GB2312"/>
                <w:sz w:val="24"/>
                <w:szCs w:val="24"/>
              </w:rPr>
              <w:t>变更信息发布后请立即与市交易中心业务管理、平台运维技术人员反馈，以便于检查变更数据是否推送正常。</w:t>
            </w:r>
          </w:p>
        </w:tc>
      </w:tr>
      <w:tr>
        <w:tblPrEx>
          <w:tblCellMar>
            <w:top w:w="0" w:type="dxa"/>
            <w:left w:w="108" w:type="dxa"/>
            <w:bottom w:w="0" w:type="dxa"/>
            <w:right w:w="108" w:type="dxa"/>
          </w:tblCellMar>
        </w:tblPrEx>
        <w:trPr>
          <w:trHeight w:val="710" w:hRule="atLeast"/>
          <w:jc w:val="center"/>
        </w:trPr>
        <w:tc>
          <w:tcPr>
            <w:tcW w:w="826"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b/>
                <w:bCs/>
                <w:sz w:val="24"/>
                <w:szCs w:val="24"/>
              </w:rPr>
            </w:pPr>
          </w:p>
        </w:tc>
        <w:tc>
          <w:tcPr>
            <w:tcW w:w="779" w:type="dxa"/>
            <w:vMerge w:val="restart"/>
            <w:tcBorders>
              <w:top w:val="nil"/>
              <w:left w:val="single" w:color="auto" w:sz="4" w:space="0"/>
              <w:bottom w:val="single" w:color="auto" w:sz="4" w:space="0"/>
              <w:right w:val="single" w:color="auto" w:sz="4" w:space="0"/>
            </w:tcBorders>
            <w:vAlign w:val="center"/>
          </w:tcPr>
          <w:p>
            <w:pPr>
              <w:jc w:val="center"/>
              <w:rPr>
                <w:b/>
                <w:bCs/>
              </w:rPr>
            </w:pPr>
            <w:r>
              <w:rPr>
                <w:rFonts w:hint="eastAsia" w:ascii="宋体" w:hAnsi="宋体"/>
                <w:b/>
                <w:bCs/>
              </w:rPr>
              <w:t>中标通知书</w:t>
            </w:r>
          </w:p>
        </w:tc>
        <w:tc>
          <w:tcPr>
            <w:tcW w:w="16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最高投标限价（预算价）</w:t>
            </w:r>
          </w:p>
        </w:tc>
        <w:tc>
          <w:tcPr>
            <w:tcW w:w="50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录入正确的最高投标限价（预算价）</w:t>
            </w:r>
          </w:p>
        </w:tc>
        <w:tc>
          <w:tcPr>
            <w:tcW w:w="579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r>
              <w:rPr>
                <w:rFonts w:hint="eastAsia" w:ascii="仿宋" w:hAnsi="仿宋" w:eastAsia="仿宋"/>
                <w:sz w:val="24"/>
                <w:szCs w:val="24"/>
              </w:rPr>
              <w:t>费率、单价等项目要录入折算后的总金额，注意不要把最高投标限价录成中标价。</w:t>
            </w:r>
          </w:p>
        </w:tc>
      </w:tr>
      <w:tr>
        <w:tblPrEx>
          <w:tblCellMar>
            <w:top w:w="0" w:type="dxa"/>
            <w:left w:w="108" w:type="dxa"/>
            <w:bottom w:w="0" w:type="dxa"/>
            <w:right w:w="108" w:type="dxa"/>
          </w:tblCellMar>
        </w:tblPrEx>
        <w:trPr>
          <w:trHeight w:val="40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b/>
                <w:bCs/>
              </w:rPr>
            </w:pPr>
          </w:p>
        </w:tc>
        <w:tc>
          <w:tcPr>
            <w:tcW w:w="169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是否联合体中标及省内企业中标金额</w:t>
            </w:r>
          </w:p>
        </w:tc>
        <w:tc>
          <w:tcPr>
            <w:tcW w:w="50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可以选择是或者否。如是，应录入正确的省内企业中标金额。</w:t>
            </w:r>
          </w:p>
        </w:tc>
        <w:tc>
          <w:tcPr>
            <w:tcW w:w="57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1.如中标单位是联合体，是否联合体中标要选是；如中标单位非联合体，是否联合体中标要选否。</w:t>
            </w:r>
          </w:p>
          <w:p>
            <w:pPr>
              <w:rPr>
                <w:rFonts w:ascii="仿宋" w:hAnsi="仿宋" w:eastAsia="仿宋"/>
                <w:sz w:val="24"/>
                <w:szCs w:val="24"/>
              </w:rPr>
            </w:pPr>
            <w:r>
              <w:rPr>
                <w:rFonts w:hint="eastAsia" w:ascii="仿宋" w:hAnsi="仿宋" w:eastAsia="仿宋"/>
                <w:sz w:val="24"/>
                <w:szCs w:val="24"/>
              </w:rPr>
              <w:t>2.如果联合里面有省外企业和省内企业，省内企业中标金额不能录的和中标金额一致，省内企业中标金额=中标金额-联合体中省外企业中标的金额。</w:t>
            </w:r>
          </w:p>
        </w:tc>
      </w:tr>
      <w:tr>
        <w:tblPrEx>
          <w:tblCellMar>
            <w:top w:w="0" w:type="dxa"/>
            <w:left w:w="108" w:type="dxa"/>
            <w:bottom w:w="0" w:type="dxa"/>
            <w:right w:w="108" w:type="dxa"/>
          </w:tblCellMar>
        </w:tblPrEx>
        <w:trPr>
          <w:trHeight w:val="49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779"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ascii="宋体" w:hAnsi="宋体"/>
                <w:b/>
                <w:bCs/>
              </w:rPr>
              <w:t>中标通知书变更</w:t>
            </w:r>
          </w:p>
        </w:tc>
        <w:tc>
          <w:tcPr>
            <w:tcW w:w="6778"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若中标通知书已经发布后，发现有错误或者需要变更，在系统的中标通知书变更环节进行变更。</w:t>
            </w:r>
          </w:p>
        </w:tc>
        <w:tc>
          <w:tcPr>
            <w:tcW w:w="579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r>
              <w:rPr>
                <w:rFonts w:hint="eastAsia" w:ascii="仿宋_GB2312" w:hAnsi="Times New Roman" w:eastAsia="仿宋_GB2312"/>
                <w:sz w:val="24"/>
                <w:szCs w:val="24"/>
              </w:rPr>
              <w:t>变更信息发布后请立即与市交易中心业务管理科、平台运维技术人员反馈，以便于检查变更数据是否推送正常。</w:t>
            </w:r>
          </w:p>
        </w:tc>
      </w:tr>
      <w:tr>
        <w:tblPrEx>
          <w:tblCellMar>
            <w:top w:w="0" w:type="dxa"/>
            <w:left w:w="108" w:type="dxa"/>
            <w:bottom w:w="0" w:type="dxa"/>
            <w:right w:w="108" w:type="dxa"/>
          </w:tblCellMar>
        </w:tblPrEx>
        <w:trPr>
          <w:trHeight w:val="286" w:hRule="atLeast"/>
          <w:jc w:val="center"/>
        </w:trPr>
        <w:tc>
          <w:tcPr>
            <w:tcW w:w="826"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b/>
                <w:bCs/>
                <w:sz w:val="24"/>
                <w:szCs w:val="24"/>
              </w:rPr>
            </w:pPr>
          </w:p>
        </w:tc>
        <w:tc>
          <w:tcPr>
            <w:tcW w:w="779" w:type="dxa"/>
            <w:vMerge w:val="restart"/>
            <w:tcBorders>
              <w:top w:val="nil"/>
              <w:left w:val="single" w:color="auto" w:sz="4" w:space="0"/>
              <w:bottom w:val="single" w:color="auto" w:sz="4" w:space="0"/>
              <w:right w:val="single" w:color="auto" w:sz="4" w:space="0"/>
            </w:tcBorders>
            <w:vAlign w:val="center"/>
          </w:tcPr>
          <w:p>
            <w:pPr>
              <w:jc w:val="center"/>
              <w:rPr>
                <w:b/>
                <w:bCs/>
              </w:rPr>
            </w:pPr>
            <w:r>
              <w:rPr>
                <w:rFonts w:hint="eastAsia" w:ascii="宋体" w:hAnsi="宋体"/>
                <w:b/>
                <w:bCs/>
              </w:rPr>
              <w:t>合同公示</w:t>
            </w:r>
          </w:p>
        </w:tc>
        <w:tc>
          <w:tcPr>
            <w:tcW w:w="6778"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合同签署时间据实填写。</w:t>
            </w:r>
          </w:p>
        </w:tc>
        <w:tc>
          <w:tcPr>
            <w:tcW w:w="579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0000FF"/>
                <w:sz w:val="24"/>
                <w:szCs w:val="24"/>
              </w:rPr>
            </w:pPr>
            <w:r>
              <w:rPr>
                <w:rFonts w:hint="eastAsia" w:ascii="仿宋" w:hAnsi="仿宋" w:eastAsia="仿宋"/>
                <w:sz w:val="24"/>
                <w:szCs w:val="24"/>
              </w:rPr>
              <w:t>合同签署时间要与合同附件中的合同签署时间一致。</w:t>
            </w:r>
          </w:p>
        </w:tc>
      </w:tr>
      <w:tr>
        <w:tblPrEx>
          <w:tblCellMar>
            <w:top w:w="0" w:type="dxa"/>
            <w:left w:w="108" w:type="dxa"/>
            <w:bottom w:w="0" w:type="dxa"/>
            <w:right w:w="108" w:type="dxa"/>
          </w:tblCellMar>
        </w:tblPrEx>
        <w:trPr>
          <w:trHeight w:val="348"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b/>
                <w:bCs/>
              </w:rPr>
            </w:pPr>
          </w:p>
        </w:tc>
        <w:tc>
          <w:tcPr>
            <w:tcW w:w="6778"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招标人名称及代码是否准确。</w:t>
            </w:r>
          </w:p>
        </w:tc>
        <w:tc>
          <w:tcPr>
            <w:tcW w:w="579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0000FF"/>
                <w:sz w:val="24"/>
                <w:szCs w:val="24"/>
              </w:rPr>
            </w:pPr>
            <w:r>
              <w:rPr>
                <w:rFonts w:hint="eastAsia" w:ascii="仿宋" w:hAnsi="仿宋" w:eastAsia="仿宋"/>
                <w:sz w:val="24"/>
                <w:szCs w:val="24"/>
              </w:rPr>
              <w:t>检查招标人名称及代码是否准确，数量是否一致，如2个招标人那么代码也应该是2个。</w:t>
            </w:r>
          </w:p>
        </w:tc>
      </w:tr>
      <w:tr>
        <w:tblPrEx>
          <w:tblCellMar>
            <w:top w:w="0" w:type="dxa"/>
            <w:left w:w="108" w:type="dxa"/>
            <w:bottom w:w="0" w:type="dxa"/>
            <w:right w:w="108" w:type="dxa"/>
          </w:tblCellMar>
        </w:tblPrEx>
        <w:trPr>
          <w:trHeight w:val="977"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b/>
                <w:bCs/>
              </w:rPr>
            </w:pPr>
          </w:p>
        </w:tc>
        <w:tc>
          <w:tcPr>
            <w:tcW w:w="6778"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合同金额录入准确。</w:t>
            </w:r>
          </w:p>
        </w:tc>
        <w:tc>
          <w:tcPr>
            <w:tcW w:w="579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r>
              <w:rPr>
                <w:rFonts w:hint="eastAsia" w:ascii="仿宋_GB2312" w:hAnsi="Times New Roman" w:eastAsia="仿宋_GB2312"/>
                <w:sz w:val="24"/>
                <w:szCs w:val="24"/>
              </w:rPr>
              <w:t>如项目中标金额是费率、单价合同公示环节合同金额要也要录入折算后的金额，公示内容中的中标金额如实填写。</w:t>
            </w:r>
          </w:p>
        </w:tc>
      </w:tr>
    </w:tbl>
    <w:p>
      <w:pPr>
        <w:ind w:firstLine="643" w:firstLineChars="200"/>
        <w:rPr>
          <w:rFonts w:hint="eastAsia" w:ascii="楷体_GB2312" w:hAnsi="楷体_GB2312"/>
          <w:b/>
          <w:bCs/>
          <w:sz w:val="32"/>
          <w:szCs w:val="32"/>
        </w:rPr>
      </w:pPr>
      <w:r>
        <w:rPr>
          <w:rFonts w:ascii="楷体_GB2312" w:hAnsi="楷体_GB2312"/>
          <w:b/>
          <w:bCs/>
          <w:sz w:val="32"/>
          <w:szCs w:val="32"/>
        </w:rPr>
        <w:t xml:space="preserve"> </w:t>
      </w:r>
    </w:p>
    <w:p>
      <w:pPr>
        <w:rPr>
          <w:rFonts w:hint="eastAsia" w:ascii="楷体_GB2312" w:hAnsi="楷体_GB2312"/>
          <w:b/>
          <w:bCs/>
          <w:sz w:val="32"/>
          <w:szCs w:val="32"/>
        </w:rPr>
      </w:pPr>
      <w:r>
        <w:rPr>
          <w:rFonts w:ascii="楷体_GB2312" w:hAnsi="楷体_GB2312"/>
          <w:b/>
          <w:bCs/>
          <w:sz w:val="32"/>
          <w:szCs w:val="32"/>
        </w:rPr>
        <w:t xml:space="preserve"> </w:t>
      </w:r>
    </w:p>
    <w:p>
      <w:pPr>
        <w:rPr>
          <w:rFonts w:hint="eastAsia" w:ascii="楷体_GB2312" w:hAnsi="楷体_GB2312"/>
          <w:b/>
          <w:bCs/>
          <w:sz w:val="32"/>
          <w:szCs w:val="32"/>
        </w:rPr>
      </w:pPr>
      <w:r>
        <w:rPr>
          <w:rFonts w:ascii="楷体_GB2312" w:hAnsi="楷体_GB2312"/>
          <w:b/>
          <w:bCs/>
          <w:sz w:val="32"/>
          <w:szCs w:val="32"/>
        </w:rPr>
        <w:t xml:space="preserve"> </w:t>
      </w:r>
    </w:p>
    <w:p>
      <w:pPr>
        <w:rPr>
          <w:rFonts w:hint="eastAsia" w:ascii="楷体_GB2312" w:hAnsi="楷体_GB2312"/>
          <w:b/>
          <w:bCs/>
          <w:sz w:val="32"/>
          <w:szCs w:val="32"/>
        </w:rPr>
      </w:pPr>
      <w:r>
        <w:rPr>
          <w:rFonts w:ascii="楷体_GB2312" w:hAnsi="楷体_GB2312"/>
          <w:b/>
          <w:bCs/>
          <w:sz w:val="32"/>
          <w:szCs w:val="32"/>
        </w:rPr>
        <w:t xml:space="preserve"> </w:t>
      </w:r>
    </w:p>
    <w:p>
      <w:pPr>
        <w:rPr>
          <w:rFonts w:hint="eastAsia" w:ascii="楷体_GB2312" w:hAnsi="楷体_GB2312"/>
          <w:b/>
          <w:bCs/>
          <w:sz w:val="32"/>
          <w:szCs w:val="32"/>
        </w:rPr>
      </w:pPr>
      <w:r>
        <w:rPr>
          <w:rFonts w:ascii="楷体_GB2312" w:hAnsi="楷体_GB2312"/>
          <w:b/>
          <w:bCs/>
          <w:sz w:val="32"/>
          <w:szCs w:val="32"/>
        </w:rPr>
        <w:t xml:space="preserve"> </w:t>
      </w:r>
    </w:p>
    <w:p>
      <w:pPr>
        <w:rPr>
          <w:rFonts w:hint="eastAsia" w:ascii="楷体_GB2312" w:hAnsi="楷体_GB2312"/>
          <w:b/>
          <w:bCs/>
          <w:sz w:val="32"/>
          <w:szCs w:val="32"/>
        </w:rPr>
      </w:pPr>
      <w:r>
        <w:rPr>
          <w:rFonts w:ascii="楷体_GB2312" w:hAnsi="楷体_GB2312"/>
          <w:b/>
          <w:bCs/>
          <w:sz w:val="32"/>
          <w:szCs w:val="32"/>
        </w:rPr>
        <w:t xml:space="preserve"> </w:t>
      </w:r>
    </w:p>
    <w:p>
      <w:pPr>
        <w:rPr>
          <w:rFonts w:hint="eastAsia" w:ascii="楷体_GB2312" w:hAnsi="楷体_GB2312"/>
          <w:b/>
          <w:bCs/>
          <w:sz w:val="32"/>
          <w:szCs w:val="32"/>
        </w:rPr>
      </w:pPr>
      <w:r>
        <w:rPr>
          <w:rFonts w:ascii="楷体_GB2312" w:hAnsi="楷体_GB2312"/>
          <w:b/>
          <w:bCs/>
          <w:sz w:val="32"/>
          <w:szCs w:val="32"/>
        </w:rPr>
        <w:t xml:space="preserve"> </w:t>
      </w:r>
    </w:p>
    <w:p>
      <w:pPr>
        <w:rPr>
          <w:rFonts w:hint="eastAsia" w:ascii="楷体_GB2312" w:hAnsi="楷体_GB2312"/>
          <w:b/>
          <w:bCs/>
          <w:sz w:val="32"/>
          <w:szCs w:val="32"/>
        </w:rPr>
      </w:pPr>
      <w:r>
        <w:rPr>
          <w:rFonts w:ascii="楷体_GB2312" w:hAnsi="楷体_GB2312"/>
          <w:b/>
          <w:bCs/>
          <w:sz w:val="32"/>
          <w:szCs w:val="32"/>
        </w:rPr>
        <w:t xml:space="preserve"> </w:t>
      </w:r>
    </w:p>
    <w:p>
      <w:pPr>
        <w:rPr>
          <w:rFonts w:hint="eastAsia" w:ascii="楷体_GB2312" w:hAnsi="楷体_GB2312"/>
          <w:b/>
          <w:bCs/>
          <w:sz w:val="32"/>
          <w:szCs w:val="32"/>
        </w:rPr>
      </w:pPr>
      <w:r>
        <w:rPr>
          <w:rFonts w:ascii="楷体_GB2312" w:hAnsi="楷体_GB2312"/>
          <w:b/>
          <w:bCs/>
          <w:sz w:val="32"/>
          <w:szCs w:val="32"/>
        </w:rPr>
        <w:t xml:space="preserve"> </w:t>
      </w:r>
    </w:p>
    <w:p>
      <w:pPr>
        <w:rPr>
          <w:rFonts w:hint="eastAsia" w:ascii="楷体_GB2312" w:hAnsi="楷体_GB2312"/>
          <w:b/>
          <w:bCs/>
          <w:sz w:val="32"/>
          <w:szCs w:val="32"/>
        </w:rPr>
      </w:pPr>
      <w:r>
        <w:rPr>
          <w:rFonts w:ascii="楷体_GB2312" w:hAnsi="楷体_GB2312"/>
          <w:b/>
          <w:bCs/>
          <w:sz w:val="32"/>
          <w:szCs w:val="32"/>
        </w:rPr>
        <w:t xml:space="preserve"> </w:t>
      </w:r>
    </w:p>
    <w:p>
      <w:pPr>
        <w:ind w:firstLine="643" w:firstLineChars="200"/>
        <w:outlineLvl w:val="0"/>
        <w:rPr>
          <w:rFonts w:hint="eastAsia" w:ascii="楷体_GB2312" w:hAnsi="楷体_GB2312"/>
          <w:b/>
          <w:bCs/>
          <w:sz w:val="32"/>
          <w:szCs w:val="32"/>
        </w:rPr>
      </w:pPr>
      <w:bookmarkStart w:id="11" w:name="_Toc4993"/>
      <w:bookmarkEnd w:id="11"/>
      <w:r>
        <w:rPr>
          <w:rFonts w:ascii="楷体_GB2312" w:hAnsi="楷体_GB2312"/>
          <w:b/>
          <w:bCs/>
          <w:sz w:val="32"/>
          <w:szCs w:val="32"/>
        </w:rPr>
        <w:t>九、</w:t>
      </w:r>
      <w:r>
        <w:rPr>
          <w:rFonts w:hint="eastAsia" w:ascii="楷体_GB2312" w:hAnsi="楷体_GB2312"/>
          <w:b/>
          <w:bCs/>
          <w:sz w:val="32"/>
          <w:szCs w:val="32"/>
        </w:rPr>
        <w:t>淮北</w:t>
      </w:r>
      <w:r>
        <w:rPr>
          <w:rFonts w:ascii="楷体_GB2312" w:hAnsi="楷体_GB2312"/>
          <w:b/>
          <w:bCs/>
          <w:sz w:val="32"/>
          <w:szCs w:val="32"/>
        </w:rPr>
        <w:t>市公共资源交易平台政府采购板块数据录入注意事项</w:t>
      </w:r>
    </w:p>
    <w:tbl>
      <w:tblPr>
        <w:tblStyle w:val="8"/>
        <w:tblW w:w="0" w:type="auto"/>
        <w:jc w:val="center"/>
        <w:tblLayout w:type="autofit"/>
        <w:tblCellMar>
          <w:top w:w="0" w:type="dxa"/>
          <w:left w:w="108" w:type="dxa"/>
          <w:bottom w:w="0" w:type="dxa"/>
          <w:right w:w="108" w:type="dxa"/>
        </w:tblCellMar>
      </w:tblPr>
      <w:tblGrid>
        <w:gridCol w:w="816"/>
        <w:gridCol w:w="738"/>
        <w:gridCol w:w="893"/>
        <w:gridCol w:w="5862"/>
        <w:gridCol w:w="5865"/>
      </w:tblGrid>
      <w:tr>
        <w:tblPrEx>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color w:val="FF0000"/>
                <w:sz w:val="24"/>
                <w:szCs w:val="24"/>
              </w:rPr>
            </w:pPr>
            <w:r>
              <w:rPr>
                <w:rFonts w:hint="eastAsia" w:ascii="仿宋" w:hAnsi="仿宋" w:eastAsia="仿宋"/>
                <w:b/>
                <w:bCs/>
                <w:color w:val="FF0000"/>
                <w:sz w:val="24"/>
                <w:szCs w:val="24"/>
              </w:rPr>
              <w:t>系统板块</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color w:val="FF0000"/>
                <w:sz w:val="24"/>
                <w:szCs w:val="24"/>
              </w:rPr>
            </w:pPr>
            <w:r>
              <w:rPr>
                <w:rFonts w:hint="eastAsia" w:ascii="仿宋" w:hAnsi="仿宋" w:eastAsia="仿宋"/>
                <w:b/>
                <w:bCs/>
                <w:color w:val="FF0000"/>
                <w:sz w:val="24"/>
                <w:szCs w:val="24"/>
              </w:rPr>
              <w:t>环节</w:t>
            </w:r>
          </w:p>
        </w:tc>
        <w:tc>
          <w:tcPr>
            <w:tcW w:w="8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color w:val="FF0000"/>
                <w:sz w:val="24"/>
                <w:szCs w:val="24"/>
              </w:rPr>
            </w:pPr>
            <w:r>
              <w:rPr>
                <w:rFonts w:hint="eastAsia" w:ascii="仿宋" w:hAnsi="仿宋" w:eastAsia="仿宋"/>
                <w:b/>
                <w:bCs/>
                <w:color w:val="FF0000"/>
                <w:sz w:val="24"/>
                <w:szCs w:val="24"/>
              </w:rPr>
              <w:t>系统字段</w:t>
            </w:r>
          </w:p>
        </w:tc>
        <w:tc>
          <w:tcPr>
            <w:tcW w:w="58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color w:val="FF0000"/>
                <w:sz w:val="24"/>
                <w:szCs w:val="24"/>
              </w:rPr>
            </w:pPr>
            <w:r>
              <w:rPr>
                <w:rFonts w:hint="eastAsia" w:ascii="仿宋" w:hAnsi="仿宋" w:eastAsia="仿宋"/>
                <w:b/>
                <w:bCs/>
                <w:color w:val="FF0000"/>
                <w:sz w:val="24"/>
                <w:szCs w:val="24"/>
              </w:rPr>
              <w:t>录入要求</w:t>
            </w:r>
          </w:p>
        </w:tc>
        <w:tc>
          <w:tcPr>
            <w:tcW w:w="58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color w:val="FF0000"/>
                <w:sz w:val="24"/>
                <w:szCs w:val="24"/>
              </w:rPr>
            </w:pPr>
            <w:r>
              <w:rPr>
                <w:rFonts w:hint="eastAsia" w:ascii="仿宋" w:hAnsi="仿宋" w:eastAsia="仿宋"/>
                <w:b/>
                <w:bCs/>
                <w:color w:val="FF0000"/>
                <w:sz w:val="24"/>
                <w:szCs w:val="24"/>
              </w:rPr>
              <w:t>注意事项</w:t>
            </w:r>
          </w:p>
        </w:tc>
      </w:tr>
      <w:tr>
        <w:tblPrEx>
          <w:tblCellMar>
            <w:top w:w="0" w:type="dxa"/>
            <w:left w:w="108" w:type="dxa"/>
            <w:bottom w:w="0" w:type="dxa"/>
            <w:right w:w="108" w:type="dxa"/>
          </w:tblCellMar>
        </w:tblPrEx>
        <w:trPr>
          <w:trHeight w:val="280" w:hRule="atLeast"/>
          <w:jc w:val="center"/>
        </w:trPr>
        <w:tc>
          <w:tcPr>
            <w:tcW w:w="816"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政府采购</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任务书</w:t>
            </w:r>
          </w:p>
        </w:tc>
        <w:tc>
          <w:tcPr>
            <w:tcW w:w="89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 w:val="24"/>
                <w:szCs w:val="24"/>
              </w:rPr>
            </w:pPr>
            <w:r>
              <w:rPr>
                <w:rFonts w:hint="eastAsia" w:ascii="仿宋" w:hAnsi="仿宋" w:eastAsia="仿宋"/>
                <w:sz w:val="24"/>
                <w:szCs w:val="24"/>
              </w:rPr>
              <w:t>新建任务书</w:t>
            </w:r>
          </w:p>
        </w:tc>
        <w:tc>
          <w:tcPr>
            <w:tcW w:w="586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 w:val="24"/>
                <w:szCs w:val="24"/>
                <w:lang w:eastAsia="zh-CN"/>
              </w:rPr>
            </w:pPr>
            <w:r>
              <w:rPr>
                <w:rFonts w:hint="eastAsia" w:ascii="仿宋" w:hAnsi="仿宋" w:eastAsia="仿宋"/>
                <w:sz w:val="24"/>
                <w:szCs w:val="24"/>
              </w:rPr>
              <w:t>政府采购项目必须要有徽采云任务书。其他项目需自行新增任务书</w:t>
            </w:r>
            <w:r>
              <w:rPr>
                <w:rFonts w:hint="eastAsia" w:ascii="仿宋" w:hAnsi="仿宋" w:eastAsia="仿宋"/>
                <w:sz w:val="24"/>
                <w:szCs w:val="24"/>
                <w:lang w:eastAsia="zh-CN"/>
              </w:rPr>
              <w:t>。</w:t>
            </w:r>
          </w:p>
        </w:tc>
        <w:tc>
          <w:tcPr>
            <w:tcW w:w="586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24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38"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项目备案</w:t>
            </w:r>
          </w:p>
        </w:tc>
        <w:tc>
          <w:tcPr>
            <w:tcW w:w="12620"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项目备案时必须挑选任务书，徽采云任务书的项目必须勾选对应的任务书，非徽采云的项目选择对应的自建任务书。</w:t>
            </w:r>
          </w:p>
        </w:tc>
      </w:tr>
      <w:tr>
        <w:tblPrEx>
          <w:tblCellMar>
            <w:top w:w="0" w:type="dxa"/>
            <w:left w:w="108" w:type="dxa"/>
            <w:bottom w:w="0" w:type="dxa"/>
            <w:right w:w="108" w:type="dxa"/>
          </w:tblCellMar>
        </w:tblPrEx>
        <w:trPr>
          <w:trHeight w:val="60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8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国民经济行业分类</w:t>
            </w:r>
          </w:p>
        </w:tc>
        <w:tc>
          <w:tcPr>
            <w:tcW w:w="586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根据《国民经济行业分类》进行选择。</w:t>
            </w:r>
          </w:p>
        </w:tc>
        <w:tc>
          <w:tcPr>
            <w:tcW w:w="586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根据《国民经济行业分类》进行选择，而非选择业主单位的性质，如某老年大学教学乐器采购项目，国民经济行业分类应当填写为：文化艺术业。代理机构注意是否选择正确，受理审核人员要注意是否选择正确。</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8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项目所属行政区划</w:t>
            </w:r>
          </w:p>
        </w:tc>
        <w:tc>
          <w:tcPr>
            <w:tcW w:w="586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选择项目所在的行政区划。</w:t>
            </w:r>
          </w:p>
        </w:tc>
        <w:tc>
          <w:tcPr>
            <w:tcW w:w="586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1.各代理机构或招标采购人在项目注册提交时选择的“项目行政区划”必须准确，受理审核人员受理时必须要注意此选项。</w:t>
            </w:r>
          </w:p>
          <w:p>
            <w:pPr>
              <w:rPr>
                <w:rFonts w:ascii="仿宋" w:hAnsi="仿宋" w:eastAsia="仿宋"/>
                <w:sz w:val="24"/>
                <w:szCs w:val="24"/>
              </w:rPr>
            </w:pPr>
            <w:r>
              <w:rPr>
                <w:rFonts w:hint="eastAsia" w:ascii="仿宋" w:hAnsi="仿宋" w:eastAsia="仿宋"/>
                <w:sz w:val="24"/>
                <w:szCs w:val="24"/>
              </w:rPr>
              <w:t>2.如县里的项目在市交易中心进行交易，该项目行政区划必须选择所对应的县，不能选择市辖区。</w:t>
            </w:r>
          </w:p>
          <w:p>
            <w:pPr>
              <w:rPr>
                <w:rFonts w:ascii="仿宋" w:hAnsi="仿宋" w:eastAsia="仿宋"/>
                <w:sz w:val="24"/>
                <w:szCs w:val="24"/>
              </w:rPr>
            </w:pPr>
            <w:r>
              <w:rPr>
                <w:rFonts w:hint="eastAsia" w:ascii="仿宋" w:hAnsi="仿宋" w:eastAsia="仿宋"/>
                <w:sz w:val="24"/>
                <w:szCs w:val="24"/>
              </w:rPr>
              <w:t>3.如项目由上级部门进行招标采购，实际签署合同和付款单位都是县里面的对应单位，该项目行政区划必须选择所对应的县，不能选择市辖区。</w:t>
            </w:r>
          </w:p>
          <w:p>
            <w:pPr>
              <w:rPr>
                <w:rFonts w:ascii="仿宋" w:hAnsi="仿宋" w:eastAsia="仿宋"/>
                <w:sz w:val="24"/>
                <w:szCs w:val="24"/>
              </w:rPr>
            </w:pPr>
            <w:r>
              <w:rPr>
                <w:rFonts w:hint="eastAsia" w:ascii="仿宋" w:hAnsi="仿宋" w:eastAsia="仿宋"/>
                <w:sz w:val="24"/>
                <w:szCs w:val="24"/>
              </w:rPr>
              <w:t>4.跨平台进行交易的项目，“项目所属行政区划”应当按照项目属地的行政区划填写。此类项目受理前与市交易中心业务管理科进行联系。</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8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采购项目类型</w:t>
            </w:r>
          </w:p>
        </w:tc>
        <w:tc>
          <w:tcPr>
            <w:tcW w:w="586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满足政府采购三要素的项目可以选择货物类、服务类和工程类。不满足政府采购三要素的项目可以选择国有企业招标采购、医疗器械、药品采购、其他等。</w:t>
            </w:r>
          </w:p>
        </w:tc>
        <w:tc>
          <w:tcPr>
            <w:tcW w:w="586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受理审核人员注意每个项目选择的货物类、服务类和工程类是否准确。</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8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是否其他交易项目</w:t>
            </w:r>
          </w:p>
        </w:tc>
        <w:tc>
          <w:tcPr>
            <w:tcW w:w="58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有徽采云任务书的政府采购项目一律选择“否”。</w:t>
            </w:r>
          </w:p>
        </w:tc>
        <w:tc>
          <w:tcPr>
            <w:tcW w:w="586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1.国有企业招标采购（除公开招标和邀请招标的工程建设项目之外）项目，在政府采购板块进行交易时，是否其他交易项目选择“是”，采购项目类型选择“国有企业招标采购”。采购项目是多个采购人的情况下，若采购单位是国有企业和政府部门组织，资金是企业自筹，在采购板块进行注册时，是否其他交易项目选择“是”，采购项目类型选择“国有企业招标采购”。</w:t>
            </w:r>
          </w:p>
          <w:p>
            <w:pPr>
              <w:rPr>
                <w:rFonts w:ascii="仿宋" w:hAnsi="仿宋" w:eastAsia="仿宋"/>
                <w:sz w:val="24"/>
                <w:szCs w:val="24"/>
              </w:rPr>
            </w:pPr>
            <w:r>
              <w:rPr>
                <w:rFonts w:hint="eastAsia" w:ascii="仿宋" w:hAnsi="仿宋" w:eastAsia="仿宋"/>
                <w:sz w:val="24"/>
                <w:szCs w:val="24"/>
              </w:rPr>
              <w:t>2、医院药械采购类项目，采购资金属于财政性资金的按照政府采购项目推送，不属于财政性资金的按照药械采购的分类代码医疗器械采购或者药品采购推送到其他交易，即在我市公共资源交易交易平台的政府采购板块项目注册时，是否其他交易项目选择“是”，采购项目类型选择“医疗器械采购或者药品采购”。</w:t>
            </w:r>
          </w:p>
          <w:p>
            <w:pPr>
              <w:rPr>
                <w:rFonts w:ascii="仿宋" w:hAnsi="仿宋" w:eastAsia="仿宋"/>
                <w:sz w:val="24"/>
                <w:szCs w:val="24"/>
              </w:rPr>
            </w:pPr>
            <w:r>
              <w:rPr>
                <w:rFonts w:hint="eastAsia" w:ascii="仿宋" w:hAnsi="仿宋" w:eastAsia="仿宋"/>
                <w:sz w:val="24"/>
                <w:szCs w:val="24"/>
              </w:rPr>
              <w:t>4、不满足政府采购三要素的项目，即在我市公共资源交易交易平台的政府采购板块项目注册时，是否其他交易项目选择“是”，采购项目类型选择“其他”。</w:t>
            </w:r>
          </w:p>
        </w:tc>
      </w:tr>
      <w:tr>
        <w:tblPrEx>
          <w:tblCellMar>
            <w:top w:w="0" w:type="dxa"/>
            <w:left w:w="108" w:type="dxa"/>
            <w:bottom w:w="0" w:type="dxa"/>
            <w:right w:w="108" w:type="dxa"/>
          </w:tblCellMar>
        </w:tblPrEx>
        <w:trPr>
          <w:trHeight w:val="641" w:hRule="atLeast"/>
          <w:jc w:val="center"/>
        </w:trPr>
        <w:tc>
          <w:tcPr>
            <w:tcW w:w="816"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8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采购组织形式</w:t>
            </w:r>
          </w:p>
        </w:tc>
        <w:tc>
          <w:tcPr>
            <w:tcW w:w="586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可以选择部门集中采购、政府集中采购、分散采购、其他。</w:t>
            </w:r>
          </w:p>
        </w:tc>
        <w:tc>
          <w:tcPr>
            <w:tcW w:w="586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微软雅黑"/>
                <w:sz w:val="24"/>
                <w:szCs w:val="24"/>
              </w:rPr>
            </w:pPr>
            <w:r>
              <w:rPr>
                <w:rFonts w:hint="eastAsia" w:ascii="仿宋" w:hAnsi="仿宋" w:eastAsia="仿宋"/>
                <w:sz w:val="24"/>
                <w:szCs w:val="24"/>
              </w:rPr>
              <w:t>任务书编号FS开头的项目，采购组织形式选择分散采购；任务书编号JC开头的项目，采购组织形式选择政府集中采购。</w:t>
            </w:r>
          </w:p>
        </w:tc>
      </w:tr>
      <w:tr>
        <w:tblPrEx>
          <w:tblCellMar>
            <w:top w:w="0" w:type="dxa"/>
            <w:left w:w="108" w:type="dxa"/>
            <w:bottom w:w="0" w:type="dxa"/>
            <w:right w:w="108" w:type="dxa"/>
          </w:tblCellMar>
        </w:tblPrEx>
        <w:trPr>
          <w:trHeight w:val="562"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8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采购方式</w:t>
            </w:r>
          </w:p>
        </w:tc>
        <w:tc>
          <w:tcPr>
            <w:tcW w:w="586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可以根据项目实际的采购方式进行选择。</w:t>
            </w:r>
          </w:p>
        </w:tc>
        <w:tc>
          <w:tcPr>
            <w:tcW w:w="586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审核人员注意，如采购项目类型是工程类，采购方式不能选择公开招标或邀请招标，框架协议的项目采购方式要选择框架协议采购。</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8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项目层级</w:t>
            </w:r>
          </w:p>
        </w:tc>
        <w:tc>
          <w:tcPr>
            <w:tcW w:w="586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可以选择省级、市级和县级。</w:t>
            </w:r>
          </w:p>
        </w:tc>
        <w:tc>
          <w:tcPr>
            <w:tcW w:w="586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市辖区项目层级选择市级，各县（市）区项目选择县级，省直单位项目层级选择省级。垂直单位项目层级可以选择市级，如国家税务总局淮北市税务局。任务书编号是JCSD34000，项目层级一律选择省级。</w:t>
            </w:r>
          </w:p>
        </w:tc>
      </w:tr>
      <w:tr>
        <w:tblPrEx>
          <w:tblCellMar>
            <w:top w:w="0" w:type="dxa"/>
            <w:left w:w="108" w:type="dxa"/>
            <w:bottom w:w="0" w:type="dxa"/>
            <w:right w:w="108" w:type="dxa"/>
          </w:tblCellMar>
        </w:tblPrEx>
        <w:trPr>
          <w:trHeight w:val="40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8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采购人类别</w:t>
            </w:r>
          </w:p>
        </w:tc>
        <w:tc>
          <w:tcPr>
            <w:tcW w:w="586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选择法人。</w:t>
            </w:r>
          </w:p>
        </w:tc>
        <w:tc>
          <w:tcPr>
            <w:tcW w:w="586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r>
              <w:rPr>
                <w:rFonts w:hint="eastAsia" w:ascii="仿宋" w:hAnsi="仿宋" w:eastAsia="仿宋"/>
                <w:sz w:val="24"/>
                <w:szCs w:val="24"/>
              </w:rPr>
              <w:t>选择法人。</w:t>
            </w:r>
            <w:bookmarkStart w:id="16" w:name="_GoBack"/>
            <w:bookmarkEnd w:id="16"/>
          </w:p>
        </w:tc>
      </w:tr>
      <w:tr>
        <w:tblPrEx>
          <w:tblCellMar>
            <w:top w:w="0" w:type="dxa"/>
            <w:left w:w="108" w:type="dxa"/>
            <w:bottom w:w="0" w:type="dxa"/>
            <w:right w:w="108" w:type="dxa"/>
          </w:tblCellMar>
        </w:tblPrEx>
        <w:trPr>
          <w:trHeight w:val="210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8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是否支持电子投标保函和履约保函</w:t>
            </w:r>
          </w:p>
        </w:tc>
        <w:tc>
          <w:tcPr>
            <w:tcW w:w="586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此两项选择系统默认选是。</w:t>
            </w:r>
          </w:p>
        </w:tc>
        <w:tc>
          <w:tcPr>
            <w:tcW w:w="586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r>
              <w:rPr>
                <w:rFonts w:hint="eastAsia" w:ascii="仿宋_GB2312" w:hAnsi="Times New Roman" w:eastAsia="仿宋_GB2312"/>
                <w:sz w:val="24"/>
                <w:szCs w:val="24"/>
              </w:rPr>
              <w:t>根据项目实际情况进行调整。</w:t>
            </w:r>
          </w:p>
        </w:tc>
      </w:tr>
      <w:tr>
        <w:tblPrEx>
          <w:tblCellMar>
            <w:top w:w="0" w:type="dxa"/>
            <w:left w:w="108" w:type="dxa"/>
            <w:bottom w:w="0" w:type="dxa"/>
            <w:right w:w="108" w:type="dxa"/>
          </w:tblCellMar>
        </w:tblPrEx>
        <w:trPr>
          <w:trHeight w:val="1553"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38"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项目分包</w:t>
            </w:r>
          </w:p>
        </w:tc>
        <w:tc>
          <w:tcPr>
            <w:tcW w:w="8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是否PPP项目</w:t>
            </w:r>
          </w:p>
        </w:tc>
        <w:tc>
          <w:tcPr>
            <w:tcW w:w="586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tLeast"/>
              <w:rPr>
                <w:rFonts w:ascii="仿宋" w:hAnsi="仿宋" w:eastAsia="仿宋"/>
                <w:sz w:val="24"/>
                <w:szCs w:val="24"/>
              </w:rPr>
            </w:pPr>
            <w:r>
              <w:rPr>
                <w:rFonts w:hint="eastAsia" w:ascii="仿宋" w:hAnsi="仿宋" w:eastAsia="仿宋"/>
                <w:sz w:val="24"/>
                <w:szCs w:val="24"/>
              </w:rPr>
              <w:t>可以选择是或者否。</w:t>
            </w:r>
          </w:p>
        </w:tc>
        <w:tc>
          <w:tcPr>
            <w:tcW w:w="586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r>
              <w:rPr>
                <w:rFonts w:ascii="仿宋_GB2312" w:hAnsi="Times New Roman" w:eastAsia="仿宋_GB2312"/>
                <w:sz w:val="24"/>
                <w:szCs w:val="24"/>
              </w:rPr>
              <w:t>代理机构在采购项目分包时注意</w:t>
            </w:r>
            <w:r>
              <w:rPr>
                <w:rFonts w:ascii="Times New Roman" w:hAnsi="Times New Roman" w:eastAsia="仿宋_GB2312"/>
                <w:sz w:val="24"/>
                <w:szCs w:val="24"/>
              </w:rPr>
              <w:t>“</w:t>
            </w:r>
            <w:r>
              <w:rPr>
                <w:rFonts w:ascii="仿宋_GB2312" w:hAnsi="Times New Roman" w:eastAsia="仿宋_GB2312"/>
                <w:sz w:val="24"/>
                <w:szCs w:val="24"/>
              </w:rPr>
              <w:t>是否是</w:t>
            </w:r>
            <w:r>
              <w:rPr>
                <w:rFonts w:ascii="Times New Roman" w:hAnsi="Times New Roman" w:eastAsia="仿宋_GB2312"/>
                <w:sz w:val="24"/>
                <w:szCs w:val="24"/>
              </w:rPr>
              <w:t>PPP</w:t>
            </w:r>
            <w:r>
              <w:rPr>
                <w:rFonts w:ascii="仿宋_GB2312" w:hAnsi="Times New Roman" w:eastAsia="仿宋_GB2312"/>
                <w:sz w:val="24"/>
                <w:szCs w:val="24"/>
              </w:rPr>
              <w:t>项目</w:t>
            </w:r>
            <w:r>
              <w:rPr>
                <w:rFonts w:ascii="Times New Roman" w:hAnsi="Times New Roman" w:eastAsia="仿宋_GB2312"/>
                <w:sz w:val="24"/>
                <w:szCs w:val="24"/>
              </w:rPr>
              <w:t>”</w:t>
            </w:r>
            <w:r>
              <w:rPr>
                <w:rFonts w:ascii="仿宋_GB2312" w:hAnsi="Times New Roman" w:eastAsia="仿宋_GB2312"/>
                <w:sz w:val="24"/>
                <w:szCs w:val="24"/>
              </w:rPr>
              <w:t>是否选择正确，系统默认为</w:t>
            </w:r>
            <w:r>
              <w:rPr>
                <w:rFonts w:ascii="Times New Roman" w:hAnsi="Times New Roman" w:eastAsia="仿宋_GB2312"/>
                <w:sz w:val="24"/>
                <w:szCs w:val="24"/>
              </w:rPr>
              <w:t>“</w:t>
            </w:r>
            <w:r>
              <w:rPr>
                <w:rFonts w:ascii="仿宋_GB2312" w:hAnsi="Times New Roman" w:eastAsia="仿宋_GB2312"/>
                <w:sz w:val="24"/>
                <w:szCs w:val="24"/>
              </w:rPr>
              <w:t>否</w:t>
            </w:r>
            <w:r>
              <w:rPr>
                <w:rFonts w:ascii="Times New Roman" w:hAnsi="Times New Roman" w:eastAsia="仿宋_GB2312"/>
                <w:sz w:val="24"/>
                <w:szCs w:val="24"/>
              </w:rPr>
              <w:t>”</w:t>
            </w:r>
            <w:r>
              <w:rPr>
                <w:rFonts w:ascii="仿宋_GB2312" w:hAnsi="Times New Roman" w:eastAsia="仿宋_GB2312"/>
                <w:sz w:val="24"/>
                <w:szCs w:val="24"/>
              </w:rPr>
              <w:t>，如当天发现此选项选择错误，请当天必须和市交易中心信息科反馈。</w:t>
            </w:r>
            <w:r>
              <w:rPr>
                <w:rFonts w:hint="eastAsia" w:ascii="仿宋_GB2312" w:hAnsi="Times New Roman" w:eastAsia="仿宋_GB2312"/>
                <w:sz w:val="24"/>
                <w:szCs w:val="24"/>
              </w:rPr>
              <w:t>如该项目为某</w:t>
            </w:r>
            <w:r>
              <w:rPr>
                <w:rFonts w:hint="eastAsia" w:ascii="Times New Roman" w:hAnsi="Times New Roman" w:eastAsia="仿宋_GB2312"/>
                <w:sz w:val="24"/>
                <w:szCs w:val="24"/>
              </w:rPr>
              <w:t>PPP</w:t>
            </w:r>
            <w:r>
              <w:rPr>
                <w:rFonts w:hint="eastAsia" w:ascii="仿宋_GB2312" w:hAnsi="Times New Roman" w:eastAsia="仿宋_GB2312"/>
                <w:sz w:val="24"/>
                <w:szCs w:val="24"/>
              </w:rPr>
              <w:t>项目中的货物采购，是否</w:t>
            </w:r>
            <w:r>
              <w:rPr>
                <w:rFonts w:hint="eastAsia" w:ascii="Times New Roman" w:hAnsi="Times New Roman" w:eastAsia="仿宋_GB2312"/>
                <w:sz w:val="24"/>
                <w:szCs w:val="24"/>
              </w:rPr>
              <w:t>PPP</w:t>
            </w:r>
            <w:r>
              <w:rPr>
                <w:rFonts w:hint="eastAsia" w:ascii="仿宋_GB2312" w:hAnsi="Times New Roman" w:eastAsia="仿宋_GB2312"/>
                <w:sz w:val="24"/>
                <w:szCs w:val="24"/>
              </w:rPr>
              <w:t>项目要选择否。</w:t>
            </w:r>
          </w:p>
        </w:tc>
      </w:tr>
      <w:tr>
        <w:tblPrEx>
          <w:tblCellMar>
            <w:top w:w="0" w:type="dxa"/>
            <w:left w:w="108" w:type="dxa"/>
            <w:bottom w:w="0" w:type="dxa"/>
            <w:right w:w="108" w:type="dxa"/>
          </w:tblCellMar>
        </w:tblPrEx>
        <w:trPr>
          <w:trHeight w:val="329"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8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是否允许联合体</w:t>
            </w:r>
          </w:p>
        </w:tc>
        <w:tc>
          <w:tcPr>
            <w:tcW w:w="586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准确选择是否允许联合体。</w:t>
            </w:r>
          </w:p>
        </w:tc>
        <w:tc>
          <w:tcPr>
            <w:tcW w:w="586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r>
              <w:rPr>
                <w:rFonts w:hint="eastAsia" w:ascii="仿宋_GB2312" w:hAnsi="Times New Roman" w:eastAsia="仿宋_GB2312"/>
                <w:sz w:val="24"/>
                <w:szCs w:val="24"/>
              </w:rPr>
              <w:t>根据项目实际情况进行调整。</w:t>
            </w:r>
          </w:p>
        </w:tc>
      </w:tr>
      <w:tr>
        <w:tblPrEx>
          <w:tblCellMar>
            <w:top w:w="0" w:type="dxa"/>
            <w:left w:w="108" w:type="dxa"/>
            <w:bottom w:w="0" w:type="dxa"/>
            <w:right w:w="108" w:type="dxa"/>
          </w:tblCellMar>
        </w:tblPrEx>
        <w:trPr>
          <w:trHeight w:val="837"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16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采购公告</w:t>
            </w:r>
          </w:p>
        </w:tc>
        <w:tc>
          <w:tcPr>
            <w:tcW w:w="586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1.准确填写相关字段信息和时间；</w:t>
            </w:r>
          </w:p>
          <w:p>
            <w:pPr>
              <w:rPr>
                <w:rFonts w:ascii="仿宋" w:hAnsi="仿宋" w:eastAsia="仿宋"/>
                <w:sz w:val="24"/>
                <w:szCs w:val="24"/>
              </w:rPr>
            </w:pPr>
            <w:r>
              <w:rPr>
                <w:rFonts w:hint="eastAsia" w:ascii="仿宋" w:hAnsi="仿宋" w:eastAsia="仿宋"/>
                <w:sz w:val="24"/>
                <w:szCs w:val="24"/>
              </w:rPr>
              <w:t>2.公告格式符合财政要求。</w:t>
            </w:r>
          </w:p>
        </w:tc>
        <w:tc>
          <w:tcPr>
            <w:tcW w:w="586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p>
        </w:tc>
      </w:tr>
      <w:tr>
        <w:tblPrEx>
          <w:tblCellMar>
            <w:top w:w="0" w:type="dxa"/>
            <w:left w:w="108" w:type="dxa"/>
            <w:bottom w:w="0" w:type="dxa"/>
            <w:right w:w="108" w:type="dxa"/>
          </w:tblCellMar>
        </w:tblPrEx>
        <w:trPr>
          <w:trHeight w:val="488"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16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投标邀请书</w:t>
            </w:r>
          </w:p>
        </w:tc>
        <w:tc>
          <w:tcPr>
            <w:tcW w:w="586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邀请完投标单位之后及时的点击确认录入完毕（邀请当天就需要点）。</w:t>
            </w:r>
          </w:p>
        </w:tc>
        <w:tc>
          <w:tcPr>
            <w:tcW w:w="586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p>
        </w:tc>
      </w:tr>
      <w:tr>
        <w:tblPrEx>
          <w:tblCellMar>
            <w:top w:w="0" w:type="dxa"/>
            <w:left w:w="108" w:type="dxa"/>
            <w:bottom w:w="0" w:type="dxa"/>
            <w:right w:w="108" w:type="dxa"/>
          </w:tblCellMar>
        </w:tblPrEx>
        <w:trPr>
          <w:trHeight w:val="100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16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变更公告</w:t>
            </w:r>
          </w:p>
        </w:tc>
        <w:tc>
          <w:tcPr>
            <w:tcW w:w="586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1.注意公告标题的填写，徽采任务书项目应符合财政要求的格式；</w:t>
            </w:r>
          </w:p>
          <w:p>
            <w:pPr>
              <w:rPr>
                <w:rFonts w:ascii="仿宋" w:hAnsi="仿宋" w:eastAsia="仿宋"/>
                <w:sz w:val="24"/>
                <w:szCs w:val="24"/>
              </w:rPr>
            </w:pPr>
            <w:r>
              <w:rPr>
                <w:rFonts w:hint="eastAsia" w:ascii="仿宋" w:hAnsi="仿宋" w:eastAsia="仿宋"/>
                <w:sz w:val="24"/>
                <w:szCs w:val="24"/>
              </w:rPr>
              <w:t>2.正确的选择更正事项，可选择：招标公告、招标文件</w:t>
            </w:r>
          </w:p>
        </w:tc>
        <w:tc>
          <w:tcPr>
            <w:tcW w:w="586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p>
        </w:tc>
      </w:tr>
      <w:tr>
        <w:tblPrEx>
          <w:tblCellMar>
            <w:top w:w="0" w:type="dxa"/>
            <w:left w:w="108" w:type="dxa"/>
            <w:bottom w:w="0" w:type="dxa"/>
            <w:right w:w="108" w:type="dxa"/>
          </w:tblCellMar>
        </w:tblPrEx>
        <w:trPr>
          <w:trHeight w:val="319"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组建评委申请</w:t>
            </w:r>
          </w:p>
        </w:tc>
        <w:tc>
          <w:tcPr>
            <w:tcW w:w="675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开标前必须完成评委组建申请。准确的选择专业、人数、集合地点、集合时间。</w:t>
            </w:r>
          </w:p>
        </w:tc>
        <w:tc>
          <w:tcPr>
            <w:tcW w:w="5865"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sz w:val="24"/>
                <w:szCs w:val="24"/>
              </w:rPr>
            </w:pPr>
          </w:p>
        </w:tc>
      </w:tr>
      <w:tr>
        <w:tblPrEx>
          <w:tblCellMar>
            <w:top w:w="0" w:type="dxa"/>
            <w:left w:w="108" w:type="dxa"/>
            <w:bottom w:w="0" w:type="dxa"/>
            <w:right w:w="108" w:type="dxa"/>
          </w:tblCellMar>
        </w:tblPrEx>
        <w:trPr>
          <w:trHeight w:val="361"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评委录入</w:t>
            </w:r>
          </w:p>
        </w:tc>
        <w:tc>
          <w:tcPr>
            <w:tcW w:w="675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评标评审活动中录入，并在开标后第二天工作时间段内录入评委费信息。</w:t>
            </w:r>
          </w:p>
        </w:tc>
        <w:tc>
          <w:tcPr>
            <w:tcW w:w="5865"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sz w:val="24"/>
                <w:szCs w:val="24"/>
              </w:rPr>
            </w:pPr>
          </w:p>
        </w:tc>
      </w:tr>
      <w:tr>
        <w:tblPrEx>
          <w:tblCellMar>
            <w:top w:w="0" w:type="dxa"/>
            <w:left w:w="108" w:type="dxa"/>
            <w:bottom w:w="0" w:type="dxa"/>
            <w:right w:w="108" w:type="dxa"/>
          </w:tblCellMar>
        </w:tblPrEx>
        <w:trPr>
          <w:trHeight w:val="39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开标情况录入</w:t>
            </w:r>
          </w:p>
        </w:tc>
        <w:tc>
          <w:tcPr>
            <w:tcW w:w="675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当天开标完成之后完成录入。</w:t>
            </w:r>
          </w:p>
        </w:tc>
        <w:tc>
          <w:tcPr>
            <w:tcW w:w="5865"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sz w:val="24"/>
                <w:szCs w:val="24"/>
              </w:rPr>
            </w:pPr>
          </w:p>
        </w:tc>
      </w:tr>
      <w:tr>
        <w:tblPrEx>
          <w:tblCellMar>
            <w:top w:w="0" w:type="dxa"/>
            <w:left w:w="108" w:type="dxa"/>
            <w:bottom w:w="0" w:type="dxa"/>
            <w:right w:w="108" w:type="dxa"/>
          </w:tblCellMar>
        </w:tblPrEx>
        <w:trPr>
          <w:trHeight w:val="311"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谈判询价情况录入</w:t>
            </w:r>
          </w:p>
        </w:tc>
        <w:tc>
          <w:tcPr>
            <w:tcW w:w="675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当天开标完成之后完成录入。</w:t>
            </w:r>
          </w:p>
        </w:tc>
        <w:tc>
          <w:tcPr>
            <w:tcW w:w="5865"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sz w:val="24"/>
                <w:szCs w:val="24"/>
              </w:rPr>
            </w:pPr>
          </w:p>
        </w:tc>
      </w:tr>
      <w:tr>
        <w:tblPrEx>
          <w:tblCellMar>
            <w:top w:w="0" w:type="dxa"/>
            <w:left w:w="108" w:type="dxa"/>
            <w:bottom w:w="0" w:type="dxa"/>
            <w:right w:w="108" w:type="dxa"/>
          </w:tblCellMar>
        </w:tblPrEx>
        <w:trPr>
          <w:trHeight w:val="401"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评标情况录入</w:t>
            </w:r>
          </w:p>
        </w:tc>
        <w:tc>
          <w:tcPr>
            <w:tcW w:w="6755" w:type="dxa"/>
            <w:gridSpan w:val="2"/>
            <w:vMerge w:val="restart"/>
            <w:tcBorders>
              <w:top w:val="nil"/>
              <w:left w:val="single" w:color="auto" w:sz="4" w:space="0"/>
              <w:bottom w:val="single" w:color="auto" w:sz="4" w:space="0"/>
              <w:right w:val="single" w:color="auto" w:sz="4" w:space="0"/>
            </w:tcBorders>
            <w:vAlign w:val="center"/>
          </w:tcPr>
          <w:p>
            <w:pPr>
              <w:rPr>
                <w:rFonts w:ascii="仿宋" w:hAnsi="仿宋" w:eastAsia="仿宋"/>
                <w:color w:val="0000FF"/>
                <w:sz w:val="24"/>
                <w:szCs w:val="24"/>
              </w:rPr>
            </w:pPr>
            <w:r>
              <w:rPr>
                <w:rFonts w:hint="eastAsia" w:ascii="仿宋" w:hAnsi="仿宋" w:eastAsia="仿宋"/>
                <w:sz w:val="24"/>
                <w:szCs w:val="24"/>
              </w:rPr>
              <w:t>若项目在下班前评标结束，则当天录入信息；若评标第二天结束，则应在第二天上班后完成信息录入。</w:t>
            </w:r>
          </w:p>
        </w:tc>
        <w:tc>
          <w:tcPr>
            <w:tcW w:w="5865" w:type="dxa"/>
            <w:vMerge w:val="restart"/>
            <w:tcBorders>
              <w:top w:val="nil"/>
              <w:left w:val="single" w:color="auto" w:sz="4" w:space="0"/>
              <w:bottom w:val="single" w:color="auto" w:sz="4" w:space="0"/>
              <w:right w:val="single" w:color="auto" w:sz="4" w:space="0"/>
            </w:tcBorders>
          </w:tcPr>
          <w:p>
            <w:pPr>
              <w:rPr>
                <w:rFonts w:ascii="Times New Roman" w:hAnsi="Times New Roman" w:eastAsia="仿宋_GB2312"/>
                <w:sz w:val="24"/>
                <w:szCs w:val="24"/>
              </w:rPr>
            </w:pPr>
          </w:p>
        </w:tc>
      </w:tr>
      <w:tr>
        <w:tblPrEx>
          <w:tblCellMar>
            <w:top w:w="0" w:type="dxa"/>
            <w:left w:w="108" w:type="dxa"/>
            <w:bottom w:w="0" w:type="dxa"/>
            <w:right w:w="108" w:type="dxa"/>
          </w:tblCellMar>
        </w:tblPrEx>
        <w:trPr>
          <w:trHeight w:val="233"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评标报告录入</w:t>
            </w: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FF"/>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sz w:val="24"/>
                <w:szCs w:val="24"/>
              </w:rPr>
            </w:pPr>
          </w:p>
        </w:tc>
      </w:tr>
      <w:tr>
        <w:tblPrEx>
          <w:tblCellMar>
            <w:top w:w="0" w:type="dxa"/>
            <w:left w:w="108" w:type="dxa"/>
            <w:bottom w:w="0" w:type="dxa"/>
            <w:right w:w="108" w:type="dxa"/>
          </w:tblCellMar>
        </w:tblPrEx>
        <w:trPr>
          <w:trHeight w:val="619" w:hRule="atLeast"/>
          <w:jc w:val="center"/>
        </w:trPr>
        <w:tc>
          <w:tcPr>
            <w:tcW w:w="816"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c>
          <w:tcPr>
            <w:tcW w:w="738"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成交公示</w:t>
            </w:r>
          </w:p>
        </w:tc>
        <w:tc>
          <w:tcPr>
            <w:tcW w:w="675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公示开始时间，公示提交时间、公示发布时间必须同一天。</w:t>
            </w:r>
          </w:p>
        </w:tc>
        <w:tc>
          <w:tcPr>
            <w:tcW w:w="586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r>
              <w:rPr>
                <w:rFonts w:hint="eastAsia" w:ascii="仿宋_GB2312" w:hAnsi="Times New Roman" w:eastAsia="仿宋_GB2312"/>
                <w:sz w:val="24"/>
                <w:szCs w:val="24"/>
              </w:rPr>
              <w:t>审核人员注意该时间是否为同一天，同时注意公示结束时间与公示开始时间是否有逻辑错误。</w:t>
            </w:r>
          </w:p>
        </w:tc>
      </w:tr>
      <w:tr>
        <w:tblPrEx>
          <w:tblCellMar>
            <w:top w:w="0" w:type="dxa"/>
            <w:left w:w="108" w:type="dxa"/>
            <w:bottom w:w="0" w:type="dxa"/>
            <w:right w:w="108" w:type="dxa"/>
          </w:tblCellMar>
        </w:tblPrEx>
        <w:trPr>
          <w:trHeight w:val="519"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675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联合体信息是否准确，若公示内容中有联合体，必须在中标结果信息中选择联合体组成单位。</w:t>
            </w:r>
          </w:p>
        </w:tc>
        <w:tc>
          <w:tcPr>
            <w:tcW w:w="586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r>
              <w:rPr>
                <w:rFonts w:hint="eastAsia" w:ascii="仿宋_GB2312" w:hAnsi="Times New Roman" w:eastAsia="仿宋_GB2312"/>
                <w:sz w:val="24"/>
                <w:szCs w:val="24"/>
              </w:rPr>
              <w:t>审核人员注意公示内容中是否有联合体单位信息，检查公示内容中的中标单位、联合体信息是否与系统中的中标结果信息中的内容一致。</w:t>
            </w:r>
          </w:p>
        </w:tc>
      </w:tr>
      <w:tr>
        <w:tblPrEx>
          <w:tblCellMar>
            <w:top w:w="0" w:type="dxa"/>
            <w:left w:w="108" w:type="dxa"/>
            <w:bottom w:w="0" w:type="dxa"/>
            <w:right w:w="108" w:type="dxa"/>
          </w:tblCellMar>
        </w:tblPrEx>
        <w:trPr>
          <w:trHeight w:val="9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675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金额是否准确，费率、单价中标的项目要选择正确的价款形式且中标价格要进行折算，注意价格单位是否选择正确。</w:t>
            </w:r>
          </w:p>
        </w:tc>
        <w:tc>
          <w:tcPr>
            <w:tcW w:w="586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r>
              <w:rPr>
                <w:rFonts w:hint="eastAsia" w:ascii="仿宋_GB2312" w:hAnsi="Times New Roman" w:eastAsia="仿宋_GB2312"/>
                <w:sz w:val="24"/>
                <w:szCs w:val="24"/>
              </w:rPr>
              <w:t>中标结果公告及变更页面，中标结果公告和通知书合并及变更页面，选择“价款形式代码”默认选中“金额形式”，代理可根据实际情况重新挑选。</w:t>
            </w:r>
          </w:p>
          <w:p>
            <w:pPr>
              <w:rPr>
                <w:rFonts w:ascii="Times New Roman" w:hAnsi="Times New Roman" w:eastAsia="仿宋_GB2312"/>
                <w:sz w:val="24"/>
                <w:szCs w:val="24"/>
              </w:rPr>
            </w:pPr>
            <w:r>
              <w:rPr>
                <w:rFonts w:hint="eastAsia" w:ascii="仿宋_GB2312" w:hAnsi="Times New Roman" w:eastAsia="仿宋_GB2312"/>
                <w:sz w:val="24"/>
                <w:szCs w:val="24"/>
              </w:rPr>
              <w:t>审核人员注意公示内容中的中标金额是否与系统中的中标明细中的中标金额一致，注意费率、单价项目价款形式是否选择正确且是否进行折算，注意价格单位是否准确。如某物业公示内容中的中标金额是</w:t>
            </w:r>
            <w:r>
              <w:rPr>
                <w:rFonts w:hint="eastAsia" w:ascii="Times New Roman" w:hAnsi="Times New Roman" w:eastAsia="仿宋_GB2312"/>
                <w:sz w:val="24"/>
                <w:szCs w:val="24"/>
              </w:rPr>
              <w:t>100</w:t>
            </w:r>
            <w:r>
              <w:rPr>
                <w:rFonts w:hint="eastAsia" w:ascii="仿宋_GB2312" w:hAnsi="Times New Roman" w:eastAsia="仿宋_GB2312"/>
                <w:sz w:val="24"/>
                <w:szCs w:val="24"/>
              </w:rPr>
              <w:t>万元</w:t>
            </w:r>
            <w:r>
              <w:rPr>
                <w:rFonts w:hint="eastAsia" w:ascii="Times New Roman" w:hAnsi="Times New Roman" w:eastAsia="仿宋_GB2312"/>
                <w:sz w:val="24"/>
                <w:szCs w:val="24"/>
              </w:rPr>
              <w:t>/</w:t>
            </w:r>
            <w:r>
              <w:rPr>
                <w:rFonts w:hint="eastAsia" w:ascii="仿宋_GB2312" w:hAnsi="Times New Roman" w:eastAsia="仿宋_GB2312"/>
                <w:sz w:val="24"/>
                <w:szCs w:val="24"/>
              </w:rPr>
              <w:t>年，在中标结果信息录入时要录入几年的总结，如三年，中标价格就需要录入</w:t>
            </w:r>
            <w:r>
              <w:rPr>
                <w:rFonts w:hint="eastAsia" w:ascii="Times New Roman" w:hAnsi="Times New Roman" w:eastAsia="仿宋_GB2312"/>
                <w:sz w:val="24"/>
                <w:szCs w:val="24"/>
              </w:rPr>
              <w:t>300</w:t>
            </w:r>
            <w:r>
              <w:rPr>
                <w:rFonts w:hint="eastAsia" w:ascii="仿宋_GB2312" w:hAnsi="Times New Roman" w:eastAsia="仿宋_GB2312"/>
                <w:sz w:val="24"/>
                <w:szCs w:val="24"/>
              </w:rPr>
              <w:t>万元，同时预算金额也要录入三年的总预算金额。</w:t>
            </w:r>
          </w:p>
        </w:tc>
      </w:tr>
      <w:tr>
        <w:tblPrEx>
          <w:tblCellMar>
            <w:top w:w="0" w:type="dxa"/>
            <w:left w:w="108" w:type="dxa"/>
            <w:bottom w:w="0" w:type="dxa"/>
            <w:right w:w="108" w:type="dxa"/>
          </w:tblCellMar>
        </w:tblPrEx>
        <w:trPr>
          <w:trHeight w:val="9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成交公示变更</w:t>
            </w:r>
          </w:p>
        </w:tc>
        <w:tc>
          <w:tcPr>
            <w:tcW w:w="675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若中标公示已经发布后，发现有错误或者需要变更，在系统的成交公示变更环节进行变更。</w:t>
            </w:r>
          </w:p>
        </w:tc>
        <w:tc>
          <w:tcPr>
            <w:tcW w:w="586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r>
              <w:rPr>
                <w:rFonts w:hint="eastAsia" w:ascii="仿宋" w:hAnsi="仿宋" w:eastAsia="仿宋"/>
                <w:sz w:val="24"/>
                <w:szCs w:val="24"/>
              </w:rPr>
              <w:t>变更信息发布后请立即和市交易中心业务管理科进行报备。</w:t>
            </w:r>
          </w:p>
        </w:tc>
      </w:tr>
      <w:tr>
        <w:tblPrEx>
          <w:tblCellMar>
            <w:top w:w="0" w:type="dxa"/>
            <w:left w:w="108" w:type="dxa"/>
            <w:bottom w:w="0" w:type="dxa"/>
            <w:right w:w="108" w:type="dxa"/>
          </w:tblCellMar>
        </w:tblPrEx>
        <w:trPr>
          <w:trHeight w:val="855" w:hRule="atLeast"/>
          <w:jc w:val="center"/>
        </w:trPr>
        <w:tc>
          <w:tcPr>
            <w:tcW w:w="816"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c>
          <w:tcPr>
            <w:tcW w:w="738"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成交通知书</w:t>
            </w:r>
          </w:p>
        </w:tc>
        <w:tc>
          <w:tcPr>
            <w:tcW w:w="8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最高投标限价（预算价）</w:t>
            </w:r>
          </w:p>
        </w:tc>
        <w:tc>
          <w:tcPr>
            <w:tcW w:w="586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录入正确的最高投标限价（预算价）</w:t>
            </w:r>
          </w:p>
        </w:tc>
        <w:tc>
          <w:tcPr>
            <w:tcW w:w="5865" w:type="dxa"/>
            <w:tcBorders>
              <w:top w:val="single" w:color="auto" w:sz="4" w:space="0"/>
              <w:left w:val="single" w:color="auto" w:sz="4" w:space="0"/>
              <w:bottom w:val="single" w:color="auto" w:sz="4" w:space="0"/>
              <w:right w:val="single" w:color="auto" w:sz="4" w:space="0"/>
            </w:tcBorders>
            <w:vAlign w:val="center"/>
          </w:tcPr>
          <w:p>
            <w:pPr>
              <w:pStyle w:val="2"/>
            </w:pPr>
            <w:r>
              <w:rPr>
                <w:rFonts w:hint="eastAsia" w:ascii="仿宋" w:hAnsi="仿宋" w:eastAsia="仿宋"/>
                <w:sz w:val="24"/>
                <w:szCs w:val="24"/>
              </w:rPr>
              <w:t>费率、单价等项目要录入折算后的总金额，注意不要把最高投标限价录成中标价</w:t>
            </w:r>
            <w:r>
              <w:rPr>
                <w:rFonts w:hint="eastAsia" w:ascii="仿宋" w:hAnsi="仿宋" w:eastAsia="仿宋"/>
                <w:sz w:val="24"/>
                <w:szCs w:val="24"/>
                <w:lang w:eastAsia="zh-CN"/>
              </w:rPr>
              <w:t>，</w:t>
            </w:r>
            <w:r>
              <w:rPr>
                <w:rFonts w:hint="eastAsia" w:ascii="仿宋" w:hAnsi="仿宋" w:eastAsia="仿宋"/>
                <w:sz w:val="24"/>
                <w:szCs w:val="24"/>
              </w:rPr>
              <w:t>高投标限价（预算价）必须与公告内容中金额一致</w:t>
            </w:r>
          </w:p>
          <w:p>
            <w:pPr>
              <w:rPr>
                <w:rFonts w:ascii="Times New Roman" w:hAnsi="Times New Roman" w:eastAsia="仿宋_GB2312"/>
                <w:sz w:val="24"/>
                <w:szCs w:val="24"/>
              </w:rPr>
            </w:pPr>
          </w:p>
        </w:tc>
      </w:tr>
      <w:tr>
        <w:tblPrEx>
          <w:tblCellMar>
            <w:top w:w="0" w:type="dxa"/>
            <w:left w:w="108" w:type="dxa"/>
            <w:bottom w:w="0" w:type="dxa"/>
            <w:right w:w="108" w:type="dxa"/>
          </w:tblCellMar>
        </w:tblPrEx>
        <w:trPr>
          <w:trHeight w:val="36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8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是否联合体中标及省内企业中标金额</w:t>
            </w:r>
          </w:p>
        </w:tc>
        <w:tc>
          <w:tcPr>
            <w:tcW w:w="586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可以选择是或者否。如是，应录入正确的省内企业中标金额。</w:t>
            </w:r>
          </w:p>
        </w:tc>
        <w:tc>
          <w:tcPr>
            <w:tcW w:w="5865" w:type="dxa"/>
            <w:tcBorders>
              <w:top w:val="single" w:color="auto" w:sz="4" w:space="0"/>
              <w:left w:val="single" w:color="auto" w:sz="4" w:space="0"/>
              <w:bottom w:val="single" w:color="auto" w:sz="4" w:space="0"/>
              <w:right w:val="single" w:color="auto" w:sz="4" w:space="0"/>
            </w:tcBorders>
            <w:vAlign w:val="center"/>
          </w:tcPr>
          <w:p>
            <w:pPr>
              <w:pStyle w:val="2"/>
              <w:rPr>
                <w:rFonts w:ascii="仿宋" w:hAnsi="仿宋" w:eastAsia="仿宋"/>
                <w:sz w:val="24"/>
                <w:szCs w:val="24"/>
              </w:rPr>
            </w:pPr>
            <w:r>
              <w:rPr>
                <w:rFonts w:hint="eastAsia" w:ascii="仿宋" w:hAnsi="仿宋" w:eastAsia="仿宋"/>
                <w:sz w:val="24"/>
                <w:szCs w:val="24"/>
              </w:rPr>
              <w:t>1.联合体中标单位名称填写注意事项</w:t>
            </w:r>
            <w:r>
              <w:rPr>
                <w:rFonts w:hint="eastAsia" w:ascii="仿宋" w:hAnsi="仿宋" w:eastAsia="仿宋"/>
                <w:sz w:val="24"/>
                <w:szCs w:val="24"/>
                <w:lang w:eastAsia="zh-CN"/>
              </w:rPr>
              <w:t>：</w:t>
            </w:r>
            <w:r>
              <w:rPr>
                <w:rFonts w:hint="eastAsia" w:ascii="仿宋" w:hAnsi="仿宋" w:eastAsia="仿宋"/>
                <w:sz w:val="24"/>
                <w:szCs w:val="24"/>
              </w:rPr>
              <w:t>如中标单位是联合体，是否联合体中标要选是；如中标单位非联合体，是否联合体中标要选否。</w:t>
            </w:r>
          </w:p>
          <w:p>
            <w:pPr>
              <w:rPr>
                <w:rFonts w:ascii="仿宋" w:hAnsi="仿宋" w:eastAsia="仿宋"/>
                <w:sz w:val="24"/>
                <w:szCs w:val="24"/>
              </w:rPr>
            </w:pPr>
            <w:r>
              <w:rPr>
                <w:rFonts w:hint="eastAsia" w:ascii="仿宋" w:hAnsi="仿宋" w:eastAsia="仿宋"/>
                <w:sz w:val="24"/>
                <w:szCs w:val="24"/>
              </w:rPr>
              <w:t>2.如果联合里面有省外企业和省内企业，省内企业中标金额不能录的和中标金额一致，省内企业中标金额=中标金额-联合体中省外企业中标的金额。</w:t>
            </w:r>
          </w:p>
        </w:tc>
      </w:tr>
      <w:tr>
        <w:tblPrEx>
          <w:tblCellMar>
            <w:top w:w="0" w:type="dxa"/>
            <w:left w:w="108" w:type="dxa"/>
            <w:bottom w:w="0" w:type="dxa"/>
            <w:right w:w="108" w:type="dxa"/>
          </w:tblCellMar>
        </w:tblPrEx>
        <w:trPr>
          <w:trHeight w:val="27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成交通知书变更</w:t>
            </w:r>
          </w:p>
        </w:tc>
        <w:tc>
          <w:tcPr>
            <w:tcW w:w="675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若中标通知书已经发布后，中标通知书错误如因成交结果公告错误造成，需重新公告，二次发通知书。系统的中标通知书变更环节进行变更。</w:t>
            </w:r>
          </w:p>
        </w:tc>
        <w:tc>
          <w:tcPr>
            <w:tcW w:w="586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r>
              <w:rPr>
                <w:rFonts w:hint="eastAsia" w:ascii="仿宋" w:hAnsi="仿宋" w:eastAsia="仿宋"/>
                <w:sz w:val="24"/>
                <w:szCs w:val="24"/>
              </w:rPr>
              <w:t>变更信息发布后请立即和市交易中心信息科进行报备。</w:t>
            </w:r>
          </w:p>
        </w:tc>
      </w:tr>
      <w:tr>
        <w:tblPrEx>
          <w:tblCellMar>
            <w:top w:w="0" w:type="dxa"/>
            <w:left w:w="108" w:type="dxa"/>
            <w:bottom w:w="0" w:type="dxa"/>
            <w:right w:w="108" w:type="dxa"/>
          </w:tblCellMar>
        </w:tblPrEx>
        <w:trPr>
          <w:trHeight w:val="470" w:hRule="atLeast"/>
          <w:jc w:val="center"/>
        </w:trPr>
        <w:tc>
          <w:tcPr>
            <w:tcW w:w="816"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c>
          <w:tcPr>
            <w:tcW w:w="738"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合同公开</w:t>
            </w:r>
          </w:p>
        </w:tc>
        <w:tc>
          <w:tcPr>
            <w:tcW w:w="675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合同签署时间据实填写。</w:t>
            </w:r>
          </w:p>
        </w:tc>
        <w:tc>
          <w:tcPr>
            <w:tcW w:w="586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r>
              <w:rPr>
                <w:rFonts w:hint="eastAsia" w:ascii="仿宋" w:hAnsi="仿宋" w:eastAsia="仿宋"/>
                <w:sz w:val="24"/>
                <w:szCs w:val="24"/>
              </w:rPr>
              <w:t>合同签署时间要与合同附件中的合同签署时间一致。</w:t>
            </w:r>
          </w:p>
        </w:tc>
      </w:tr>
      <w:tr>
        <w:tblPrEx>
          <w:tblCellMar>
            <w:top w:w="0" w:type="dxa"/>
            <w:left w:w="108" w:type="dxa"/>
            <w:bottom w:w="0" w:type="dxa"/>
            <w:right w:w="108" w:type="dxa"/>
          </w:tblCellMar>
        </w:tblPrEx>
        <w:trPr>
          <w:trHeight w:val="147"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675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招标人名称及代码是否准确</w:t>
            </w:r>
          </w:p>
        </w:tc>
        <w:tc>
          <w:tcPr>
            <w:tcW w:w="586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检查招标人名称及代码是否准确，数量是否一致，如2个招标人那么代码也应该是2个。</w:t>
            </w:r>
          </w:p>
        </w:tc>
      </w:tr>
      <w:tr>
        <w:tblPrEx>
          <w:tblCellMar>
            <w:top w:w="0" w:type="dxa"/>
            <w:left w:w="108" w:type="dxa"/>
            <w:bottom w:w="0" w:type="dxa"/>
            <w:right w:w="108" w:type="dxa"/>
          </w:tblCellMar>
        </w:tblPrEx>
        <w:trPr>
          <w:trHeight w:val="661"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675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合同金额录入准确</w:t>
            </w:r>
          </w:p>
        </w:tc>
        <w:tc>
          <w:tcPr>
            <w:tcW w:w="586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r>
              <w:rPr>
                <w:rFonts w:hint="eastAsia" w:ascii="仿宋_GB2312" w:hAnsi="Times New Roman" w:eastAsia="仿宋_GB2312"/>
                <w:sz w:val="24"/>
                <w:szCs w:val="24"/>
              </w:rPr>
              <w:t>如项目中标金额是费率、单价那么价款形式代码要选择准确，在合同公示环节合同金额要也要录入折算后的金额，公示内容中的中标金额如实填写。</w:t>
            </w:r>
          </w:p>
        </w:tc>
      </w:tr>
    </w:tbl>
    <w:p>
      <w:pPr>
        <w:ind w:firstLine="643" w:firstLineChars="200"/>
        <w:rPr>
          <w:rFonts w:hint="eastAsia" w:ascii="楷体_GB2312" w:hAnsi="楷体_GB2312"/>
          <w:b/>
          <w:bCs/>
          <w:sz w:val="32"/>
          <w:szCs w:val="32"/>
        </w:rPr>
      </w:pPr>
      <w:r>
        <w:rPr>
          <w:rFonts w:ascii="楷体_GB2312" w:hAnsi="楷体_GB2312"/>
          <w:b/>
          <w:bCs/>
          <w:sz w:val="32"/>
          <w:szCs w:val="32"/>
        </w:rPr>
        <w:t xml:space="preserve"> </w:t>
      </w:r>
    </w:p>
    <w:p>
      <w:pPr>
        <w:ind w:firstLine="643" w:firstLineChars="200"/>
        <w:rPr>
          <w:rFonts w:ascii="楷体_GB2312" w:hAnsi="楷体_GB2312"/>
          <w:b/>
          <w:bCs/>
          <w:sz w:val="32"/>
          <w:szCs w:val="32"/>
        </w:rPr>
      </w:pPr>
      <w:r>
        <w:rPr>
          <w:rFonts w:ascii="楷体_GB2312" w:hAnsi="楷体_GB2312"/>
          <w:b/>
          <w:bCs/>
          <w:sz w:val="32"/>
          <w:szCs w:val="32"/>
        </w:rPr>
        <w:t xml:space="preserve"> </w:t>
      </w:r>
    </w:p>
    <w:p>
      <w:pPr>
        <w:ind w:firstLine="643" w:firstLineChars="200"/>
        <w:rPr>
          <w:rFonts w:ascii="楷体_GB2312" w:hAnsi="楷体_GB2312"/>
          <w:b/>
          <w:bCs/>
          <w:sz w:val="32"/>
          <w:szCs w:val="32"/>
        </w:rPr>
      </w:pPr>
    </w:p>
    <w:p>
      <w:pPr>
        <w:ind w:firstLine="643" w:firstLineChars="200"/>
        <w:rPr>
          <w:rFonts w:ascii="楷体_GB2312" w:hAnsi="楷体_GB2312"/>
          <w:b/>
          <w:bCs/>
          <w:sz w:val="32"/>
          <w:szCs w:val="32"/>
        </w:rPr>
      </w:pPr>
    </w:p>
    <w:p>
      <w:pPr>
        <w:ind w:firstLine="643" w:firstLineChars="200"/>
        <w:rPr>
          <w:rFonts w:hint="eastAsia" w:ascii="楷体_GB2312" w:hAnsi="楷体_GB2312"/>
          <w:b/>
          <w:bCs/>
          <w:sz w:val="32"/>
          <w:szCs w:val="32"/>
        </w:rPr>
      </w:pPr>
    </w:p>
    <w:p>
      <w:pPr>
        <w:ind w:firstLine="643" w:firstLineChars="200"/>
        <w:rPr>
          <w:rFonts w:hint="eastAsia" w:ascii="楷体_GB2312" w:hAnsi="楷体_GB2312"/>
          <w:b/>
          <w:bCs/>
          <w:sz w:val="32"/>
          <w:szCs w:val="32"/>
        </w:rPr>
      </w:pPr>
      <w:r>
        <w:rPr>
          <w:rFonts w:ascii="楷体_GB2312" w:hAnsi="楷体_GB2312"/>
          <w:b/>
          <w:bCs/>
          <w:sz w:val="32"/>
          <w:szCs w:val="32"/>
        </w:rPr>
        <w:t xml:space="preserve"> </w:t>
      </w:r>
    </w:p>
    <w:p>
      <w:pPr>
        <w:ind w:firstLine="643" w:firstLineChars="200"/>
        <w:rPr>
          <w:rFonts w:hint="eastAsia" w:ascii="楷体_GB2312" w:hAnsi="楷体_GB2312"/>
          <w:b/>
          <w:bCs/>
          <w:sz w:val="32"/>
          <w:szCs w:val="32"/>
        </w:rPr>
      </w:pPr>
      <w:r>
        <w:rPr>
          <w:rFonts w:ascii="楷体_GB2312" w:hAnsi="楷体_GB2312"/>
          <w:b/>
          <w:bCs/>
          <w:sz w:val="32"/>
          <w:szCs w:val="32"/>
        </w:rPr>
        <w:t xml:space="preserve"> </w:t>
      </w:r>
    </w:p>
    <w:p>
      <w:pPr>
        <w:rPr>
          <w:rFonts w:hint="eastAsia" w:ascii="楷体_GB2312" w:hAnsi="楷体_GB2312"/>
          <w:b/>
          <w:bCs/>
          <w:sz w:val="32"/>
          <w:szCs w:val="32"/>
        </w:rPr>
      </w:pPr>
      <w:r>
        <w:rPr>
          <w:rFonts w:ascii="楷体_GB2312" w:hAnsi="楷体_GB2312"/>
          <w:b/>
          <w:bCs/>
          <w:sz w:val="32"/>
          <w:szCs w:val="32"/>
        </w:rPr>
        <w:t xml:space="preserve"> </w:t>
      </w:r>
    </w:p>
    <w:p>
      <w:pPr>
        <w:ind w:firstLine="643" w:firstLineChars="200"/>
        <w:outlineLvl w:val="0"/>
        <w:rPr>
          <w:rFonts w:hint="eastAsia" w:ascii="楷体_GB2312" w:hAnsi="楷体_GB2312"/>
          <w:b/>
          <w:bCs/>
          <w:sz w:val="32"/>
          <w:szCs w:val="32"/>
        </w:rPr>
      </w:pPr>
      <w:bookmarkStart w:id="12" w:name="_Toc5772"/>
      <w:bookmarkEnd w:id="12"/>
      <w:r>
        <w:rPr>
          <w:rFonts w:ascii="楷体_GB2312" w:hAnsi="楷体_GB2312"/>
          <w:b/>
          <w:bCs/>
          <w:sz w:val="32"/>
          <w:szCs w:val="32"/>
        </w:rPr>
        <w:t>十、</w:t>
      </w:r>
      <w:r>
        <w:rPr>
          <w:rFonts w:hint="eastAsia" w:ascii="楷体_GB2312" w:hAnsi="楷体_GB2312"/>
          <w:b/>
          <w:bCs/>
          <w:sz w:val="32"/>
          <w:szCs w:val="32"/>
        </w:rPr>
        <w:t>淮北</w:t>
      </w:r>
      <w:r>
        <w:rPr>
          <w:rFonts w:ascii="楷体_GB2312" w:hAnsi="楷体_GB2312"/>
          <w:b/>
          <w:bCs/>
          <w:sz w:val="32"/>
          <w:szCs w:val="32"/>
        </w:rPr>
        <w:t>市公共资源交易平台产权交易板块数据录入注意事项</w:t>
      </w:r>
    </w:p>
    <w:tbl>
      <w:tblPr>
        <w:tblStyle w:val="8"/>
        <w:tblW w:w="0" w:type="auto"/>
        <w:jc w:val="center"/>
        <w:tblLayout w:type="fixed"/>
        <w:tblCellMar>
          <w:top w:w="0" w:type="dxa"/>
          <w:left w:w="108" w:type="dxa"/>
          <w:bottom w:w="0" w:type="dxa"/>
          <w:right w:w="108" w:type="dxa"/>
        </w:tblCellMar>
      </w:tblPr>
      <w:tblGrid>
        <w:gridCol w:w="792"/>
        <w:gridCol w:w="751"/>
        <w:gridCol w:w="763"/>
        <w:gridCol w:w="5934"/>
        <w:gridCol w:w="5934"/>
      </w:tblGrid>
      <w:tr>
        <w:tblPrEx>
          <w:tblCellMar>
            <w:top w:w="0" w:type="dxa"/>
            <w:left w:w="108" w:type="dxa"/>
            <w:bottom w:w="0" w:type="dxa"/>
            <w:right w:w="108" w:type="dxa"/>
          </w:tblCellMar>
        </w:tblPrEx>
        <w:trPr>
          <w:jc w:val="center"/>
        </w:trPr>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color w:val="FF0000"/>
                <w:sz w:val="24"/>
                <w:szCs w:val="24"/>
              </w:rPr>
            </w:pPr>
            <w:r>
              <w:rPr>
                <w:rFonts w:hint="eastAsia" w:ascii="仿宋" w:hAnsi="仿宋" w:eastAsia="仿宋"/>
                <w:b/>
                <w:bCs/>
                <w:color w:val="FF0000"/>
                <w:sz w:val="24"/>
                <w:szCs w:val="24"/>
              </w:rPr>
              <w:t>系统板块</w:t>
            </w:r>
          </w:p>
        </w:tc>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color w:val="FF0000"/>
                <w:sz w:val="24"/>
                <w:szCs w:val="24"/>
              </w:rPr>
            </w:pPr>
            <w:r>
              <w:rPr>
                <w:rFonts w:hint="eastAsia" w:ascii="仿宋" w:hAnsi="仿宋" w:eastAsia="仿宋"/>
                <w:b/>
                <w:bCs/>
                <w:color w:val="FF0000"/>
                <w:sz w:val="24"/>
                <w:szCs w:val="24"/>
              </w:rPr>
              <w:t>环节</w:t>
            </w: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color w:val="FF0000"/>
                <w:sz w:val="24"/>
                <w:szCs w:val="24"/>
              </w:rPr>
            </w:pPr>
            <w:r>
              <w:rPr>
                <w:rFonts w:hint="eastAsia" w:ascii="仿宋" w:hAnsi="仿宋" w:eastAsia="仿宋"/>
                <w:b/>
                <w:bCs/>
                <w:color w:val="FF0000"/>
                <w:sz w:val="24"/>
                <w:szCs w:val="24"/>
              </w:rPr>
              <w:t>系统字段</w:t>
            </w:r>
          </w:p>
        </w:tc>
        <w:tc>
          <w:tcPr>
            <w:tcW w:w="59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color w:val="FF0000"/>
                <w:sz w:val="24"/>
                <w:szCs w:val="24"/>
              </w:rPr>
            </w:pPr>
            <w:r>
              <w:rPr>
                <w:rFonts w:hint="eastAsia" w:ascii="仿宋" w:hAnsi="仿宋" w:eastAsia="仿宋"/>
                <w:b/>
                <w:bCs/>
                <w:color w:val="FF0000"/>
                <w:sz w:val="24"/>
                <w:szCs w:val="24"/>
              </w:rPr>
              <w:t>录入要求</w:t>
            </w:r>
          </w:p>
        </w:tc>
        <w:tc>
          <w:tcPr>
            <w:tcW w:w="59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color w:val="FF0000"/>
                <w:sz w:val="24"/>
                <w:szCs w:val="24"/>
              </w:rPr>
            </w:pPr>
            <w:r>
              <w:rPr>
                <w:rFonts w:hint="eastAsia" w:ascii="仿宋" w:hAnsi="仿宋" w:eastAsia="仿宋"/>
                <w:b/>
                <w:bCs/>
                <w:color w:val="FF0000"/>
                <w:sz w:val="24"/>
                <w:szCs w:val="24"/>
              </w:rPr>
              <w:t>注意事项</w:t>
            </w:r>
          </w:p>
        </w:tc>
      </w:tr>
      <w:tr>
        <w:tblPrEx>
          <w:tblCellMar>
            <w:top w:w="0" w:type="dxa"/>
            <w:left w:w="108" w:type="dxa"/>
            <w:bottom w:w="0" w:type="dxa"/>
            <w:right w:w="108" w:type="dxa"/>
          </w:tblCellMar>
        </w:tblPrEx>
        <w:trPr>
          <w:jc w:val="center"/>
        </w:trPr>
        <w:tc>
          <w:tcPr>
            <w:tcW w:w="792"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产权交易</w:t>
            </w:r>
          </w:p>
        </w:tc>
        <w:tc>
          <w:tcPr>
            <w:tcW w:w="751"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项目受理</w:t>
            </w: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项目所属行政区划</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选择项目所在的行政区划。</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1.各拍卖代理机构在项目注册提交时选择的“项目行政区划”必须准确，受理审核人员受理时必须要注意此选项。</w:t>
            </w:r>
          </w:p>
          <w:p>
            <w:pPr>
              <w:rPr>
                <w:rFonts w:ascii="仿宋" w:hAnsi="仿宋" w:eastAsia="仿宋"/>
                <w:sz w:val="24"/>
                <w:szCs w:val="24"/>
              </w:rPr>
            </w:pPr>
            <w:r>
              <w:rPr>
                <w:rFonts w:hint="eastAsia" w:ascii="仿宋" w:hAnsi="仿宋" w:eastAsia="仿宋"/>
                <w:sz w:val="24"/>
                <w:szCs w:val="24"/>
              </w:rPr>
              <w:t>2.如县里的项目在市交易中心进行交易，该项目行政区划必须选择所对应的县，不能选择市辖区。</w:t>
            </w:r>
          </w:p>
        </w:tc>
      </w:tr>
      <w:tr>
        <w:tblPrEx>
          <w:tblCellMar>
            <w:top w:w="0" w:type="dxa"/>
            <w:left w:w="108" w:type="dxa"/>
            <w:bottom w:w="0" w:type="dxa"/>
            <w:right w:w="108" w:type="dxa"/>
          </w:tblCellMar>
        </w:tblPrEx>
        <w:trPr>
          <w:jc w:val="center"/>
        </w:trPr>
        <w:tc>
          <w:tcPr>
            <w:tcW w:w="7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资产类型</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可以选择房产、土地使用权、交通运输工具、设备、在建工程、其他资产。</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1.存量堆放的砂石、风化的渣石，以及施工过程中产生的砂石资源，资产类型选择其他资产；</w:t>
            </w:r>
          </w:p>
          <w:p>
            <w:pPr>
              <w:rPr>
                <w:rFonts w:ascii="仿宋" w:hAnsi="仿宋" w:eastAsia="仿宋"/>
                <w:sz w:val="24"/>
                <w:szCs w:val="24"/>
              </w:rPr>
            </w:pPr>
            <w:r>
              <w:rPr>
                <w:rFonts w:hint="eastAsia" w:ascii="仿宋" w:hAnsi="仿宋" w:eastAsia="仿宋"/>
                <w:sz w:val="24"/>
                <w:szCs w:val="24"/>
              </w:rPr>
              <w:t>2.房屋等拆除权转让，资产类型选择其他资产；</w:t>
            </w:r>
          </w:p>
          <w:p>
            <w:pPr>
              <w:rPr>
                <w:rFonts w:ascii="仿宋" w:hAnsi="仿宋" w:eastAsia="仿宋"/>
                <w:sz w:val="24"/>
                <w:szCs w:val="24"/>
              </w:rPr>
            </w:pPr>
            <w:r>
              <w:rPr>
                <w:rFonts w:hint="eastAsia" w:ascii="仿宋" w:hAnsi="仿宋" w:eastAsia="仿宋"/>
                <w:sz w:val="24"/>
                <w:szCs w:val="24"/>
              </w:rPr>
              <w:t>3.房屋租赁，食堂、超市经营权等属于国有产权项目，资产类型选择其他资产。</w:t>
            </w:r>
          </w:p>
          <w:p>
            <w:pPr>
              <w:rPr>
                <w:rFonts w:ascii="仿宋" w:hAnsi="仿宋" w:eastAsia="仿宋"/>
                <w:sz w:val="24"/>
                <w:szCs w:val="24"/>
              </w:rPr>
            </w:pPr>
            <w:r>
              <w:rPr>
                <w:rFonts w:hint="eastAsia" w:ascii="仿宋" w:hAnsi="仿宋" w:eastAsia="仿宋"/>
                <w:sz w:val="24"/>
                <w:szCs w:val="24"/>
              </w:rPr>
              <w:t>4.房屋拍卖项目，资产类型选择房产；</w:t>
            </w:r>
          </w:p>
          <w:p>
            <w:pPr>
              <w:rPr>
                <w:rFonts w:ascii="仿宋" w:hAnsi="仿宋" w:eastAsia="仿宋"/>
                <w:sz w:val="24"/>
                <w:szCs w:val="24"/>
              </w:rPr>
            </w:pPr>
            <w:r>
              <w:rPr>
                <w:rFonts w:hint="eastAsia" w:ascii="仿宋" w:hAnsi="仿宋" w:eastAsia="仿宋"/>
                <w:sz w:val="24"/>
                <w:szCs w:val="24"/>
              </w:rPr>
              <w:t>5.所有交通运输工具的项目（含车辆、船舶），资产类型选择交通运输工具。</w:t>
            </w:r>
          </w:p>
          <w:p>
            <w:pPr>
              <w:rPr>
                <w:rFonts w:ascii="仿宋" w:hAnsi="仿宋" w:eastAsia="仿宋"/>
                <w:sz w:val="24"/>
                <w:szCs w:val="24"/>
                <w:highlight w:val="green"/>
              </w:rPr>
            </w:pPr>
            <w:r>
              <w:rPr>
                <w:rFonts w:hint="eastAsia" w:ascii="仿宋" w:hAnsi="仿宋" w:eastAsia="仿宋"/>
                <w:sz w:val="24"/>
                <w:szCs w:val="24"/>
              </w:rPr>
              <w:t>6.例如报废的车辆仍按照交通运输工具进行分类，报废的设备仍按照设备进行分类。</w:t>
            </w:r>
          </w:p>
        </w:tc>
      </w:tr>
      <w:tr>
        <w:tblPrEx>
          <w:tblCellMar>
            <w:top w:w="0" w:type="dxa"/>
            <w:left w:w="108" w:type="dxa"/>
            <w:bottom w:w="0" w:type="dxa"/>
            <w:right w:w="108" w:type="dxa"/>
          </w:tblCellMar>
        </w:tblPrEx>
        <w:trPr>
          <w:trHeight w:val="90" w:hRule="atLeast"/>
          <w:jc w:val="center"/>
        </w:trPr>
        <w:tc>
          <w:tcPr>
            <w:tcW w:w="7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是否其他交易项目</w:t>
            </w:r>
          </w:p>
        </w:tc>
        <w:tc>
          <w:tcPr>
            <w:tcW w:w="5934" w:type="dxa"/>
            <w:vMerge w:val="restart"/>
            <w:tcBorders>
              <w:top w:val="nil"/>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可以选择是或者否。若选择了是其他交易项目，其他交易分类可以选择农村产权、林权、碳排放权、排污权、债权或者债权及其抵押权的转让、罚没物拍卖、广告经营权、冠名权等。</w:t>
            </w:r>
          </w:p>
        </w:tc>
        <w:tc>
          <w:tcPr>
            <w:tcW w:w="5934" w:type="dxa"/>
            <w:vMerge w:val="restart"/>
            <w:tcBorders>
              <w:top w:val="nil"/>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根据项目实际情况进行选择。</w:t>
            </w:r>
          </w:p>
        </w:tc>
      </w:tr>
      <w:tr>
        <w:tblPrEx>
          <w:tblCellMar>
            <w:top w:w="0" w:type="dxa"/>
            <w:left w:w="108" w:type="dxa"/>
            <w:bottom w:w="0" w:type="dxa"/>
            <w:right w:w="108" w:type="dxa"/>
          </w:tblCellMar>
        </w:tblPrEx>
        <w:trPr>
          <w:trHeight w:val="569" w:hRule="atLeast"/>
          <w:jc w:val="center"/>
        </w:trPr>
        <w:tc>
          <w:tcPr>
            <w:tcW w:w="7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其他交易分类</w:t>
            </w:r>
          </w:p>
        </w:tc>
        <w:tc>
          <w:tcPr>
            <w:tcW w:w="593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593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r>
      <w:tr>
        <w:tblPrEx>
          <w:tblCellMar>
            <w:top w:w="0" w:type="dxa"/>
            <w:left w:w="108" w:type="dxa"/>
            <w:bottom w:w="0" w:type="dxa"/>
            <w:right w:w="108" w:type="dxa"/>
          </w:tblCellMar>
        </w:tblPrEx>
        <w:trPr>
          <w:jc w:val="center"/>
        </w:trPr>
        <w:tc>
          <w:tcPr>
            <w:tcW w:w="7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交易方式</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可以选择拍卖、网络竞价、招投标、协议转让/出让、其他、动态报价。</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根据项目实际情况进行选择。</w:t>
            </w:r>
          </w:p>
        </w:tc>
      </w:tr>
      <w:tr>
        <w:tblPrEx>
          <w:tblCellMar>
            <w:top w:w="0" w:type="dxa"/>
            <w:left w:w="108" w:type="dxa"/>
            <w:bottom w:w="0" w:type="dxa"/>
            <w:right w:w="108" w:type="dxa"/>
          </w:tblCellMar>
        </w:tblPrEx>
        <w:trPr>
          <w:trHeight w:val="938" w:hRule="atLeast"/>
          <w:jc w:val="center"/>
        </w:trPr>
        <w:tc>
          <w:tcPr>
            <w:tcW w:w="7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项目层级</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可以选择省级、市级和县级。</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市辖区项目层级选择市级，各县（市）区项目选择县级，省直单位项目层级选择省级。垂直单位项目层级可以选择市级，如国家税务总局淮北市税务局。</w:t>
            </w:r>
          </w:p>
        </w:tc>
      </w:tr>
      <w:tr>
        <w:tblPrEx>
          <w:tblCellMar>
            <w:top w:w="0" w:type="dxa"/>
            <w:left w:w="108" w:type="dxa"/>
            <w:bottom w:w="0" w:type="dxa"/>
            <w:right w:w="108" w:type="dxa"/>
          </w:tblCellMar>
        </w:tblPrEx>
        <w:trPr>
          <w:jc w:val="center"/>
        </w:trPr>
        <w:tc>
          <w:tcPr>
            <w:tcW w:w="7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产权类别</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可以选择股权资产转让类和非股权资产转让类。</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r>
              <w:rPr>
                <w:rFonts w:hint="eastAsia" w:ascii="仿宋_GB2312" w:hAnsi="Times New Roman" w:eastAsia="仿宋_GB2312"/>
                <w:sz w:val="24"/>
                <w:szCs w:val="24"/>
              </w:rPr>
              <w:t>股权项目要选择股权资产类。</w:t>
            </w:r>
          </w:p>
        </w:tc>
      </w:tr>
      <w:tr>
        <w:tblPrEx>
          <w:tblCellMar>
            <w:top w:w="0" w:type="dxa"/>
            <w:left w:w="108" w:type="dxa"/>
            <w:bottom w:w="0" w:type="dxa"/>
            <w:right w:w="108" w:type="dxa"/>
          </w:tblCellMar>
        </w:tblPrEx>
        <w:trPr>
          <w:jc w:val="center"/>
        </w:trPr>
        <w:tc>
          <w:tcPr>
            <w:tcW w:w="7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产权交易分类</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可以选择国有及国有控股企业产权交易、金融企业国有资产转让交易和行政事业单位产权交易。</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r>
              <w:rPr>
                <w:rFonts w:hint="eastAsia" w:ascii="仿宋_GB2312" w:hAnsi="Times New Roman" w:eastAsia="仿宋_GB2312"/>
                <w:sz w:val="24"/>
                <w:szCs w:val="24"/>
              </w:rPr>
              <w:t>出让单位是机关事业单位的要选择</w:t>
            </w:r>
            <w:r>
              <w:rPr>
                <w:rFonts w:hint="eastAsia" w:ascii="仿宋" w:hAnsi="仿宋" w:eastAsia="仿宋"/>
                <w:sz w:val="24"/>
                <w:szCs w:val="24"/>
              </w:rPr>
              <w:t>行政事业单位产权交易；出让单位是国有企业的要选择国有及国有控股企业产权交易；出让单位是金融企业的要选择金融企业国有资产转让交易。</w:t>
            </w:r>
          </w:p>
        </w:tc>
      </w:tr>
      <w:tr>
        <w:tblPrEx>
          <w:tblCellMar>
            <w:top w:w="0" w:type="dxa"/>
            <w:left w:w="108" w:type="dxa"/>
            <w:bottom w:w="0" w:type="dxa"/>
            <w:right w:w="108" w:type="dxa"/>
          </w:tblCellMar>
        </w:tblPrEx>
        <w:trPr>
          <w:jc w:val="center"/>
        </w:trPr>
        <w:tc>
          <w:tcPr>
            <w:tcW w:w="7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是否企业国有产权</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只要产权交易分类选择了国有及国有控股企业产权交易、金融企业国有资产转让交易的系统自动选择“是”。</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p>
        </w:tc>
      </w:tr>
      <w:tr>
        <w:tblPrEx>
          <w:tblCellMar>
            <w:top w:w="0" w:type="dxa"/>
            <w:left w:w="108" w:type="dxa"/>
            <w:bottom w:w="0" w:type="dxa"/>
            <w:right w:w="108" w:type="dxa"/>
          </w:tblCellMar>
        </w:tblPrEx>
        <w:trPr>
          <w:trHeight w:val="477" w:hRule="atLeast"/>
          <w:jc w:val="center"/>
        </w:trPr>
        <w:tc>
          <w:tcPr>
            <w:tcW w:w="7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出让底价</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据实填写，注意单位是万元。</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r>
              <w:rPr>
                <w:rFonts w:hint="eastAsia" w:ascii="仿宋_GB2312" w:hAnsi="Times New Roman" w:eastAsia="仿宋_GB2312"/>
                <w:sz w:val="24"/>
                <w:szCs w:val="24"/>
              </w:rPr>
              <w:t>注意出让</w:t>
            </w:r>
            <w:r>
              <w:rPr>
                <w:rFonts w:hint="eastAsia" w:ascii="仿宋" w:hAnsi="仿宋" w:eastAsia="仿宋"/>
                <w:sz w:val="24"/>
                <w:szCs w:val="24"/>
              </w:rPr>
              <w:t>底价</w:t>
            </w:r>
            <w:r>
              <w:rPr>
                <w:rFonts w:hint="eastAsia" w:ascii="仿宋_GB2312" w:hAnsi="Times New Roman" w:eastAsia="仿宋_GB2312"/>
                <w:sz w:val="24"/>
                <w:szCs w:val="24"/>
              </w:rPr>
              <w:t>单位是万元而非元。</w:t>
            </w:r>
          </w:p>
        </w:tc>
      </w:tr>
      <w:tr>
        <w:tblPrEx>
          <w:tblCellMar>
            <w:top w:w="0" w:type="dxa"/>
            <w:left w:w="108" w:type="dxa"/>
            <w:bottom w:w="0" w:type="dxa"/>
            <w:right w:w="108" w:type="dxa"/>
          </w:tblCellMar>
        </w:tblPrEx>
        <w:trPr>
          <w:trHeight w:val="157" w:hRule="atLeast"/>
          <w:jc w:val="center"/>
        </w:trPr>
        <w:tc>
          <w:tcPr>
            <w:tcW w:w="7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标的信息</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根据项目实际情况划分标的信息。</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r>
              <w:rPr>
                <w:rFonts w:hint="eastAsia" w:ascii="仿宋_GB2312" w:hAnsi="Times New Roman" w:eastAsia="仿宋_GB2312"/>
                <w:sz w:val="24"/>
                <w:szCs w:val="24"/>
              </w:rPr>
              <w:t>若项目是整体拍卖划分一个标的物，若是多个标的物拍卖，应每个标的物划分一个标的。</w:t>
            </w:r>
          </w:p>
        </w:tc>
      </w:tr>
      <w:tr>
        <w:tblPrEx>
          <w:tblCellMar>
            <w:top w:w="0" w:type="dxa"/>
            <w:left w:w="108" w:type="dxa"/>
            <w:bottom w:w="0" w:type="dxa"/>
            <w:right w:w="108" w:type="dxa"/>
          </w:tblCellMar>
        </w:tblPrEx>
        <w:trPr>
          <w:jc w:val="center"/>
        </w:trPr>
        <w:tc>
          <w:tcPr>
            <w:tcW w:w="7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公告</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公示开始时间，公示提交时间、公示发布时间必须同一天。</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r>
              <w:rPr>
                <w:rFonts w:hint="eastAsia" w:ascii="仿宋_GB2312" w:hAnsi="Times New Roman" w:eastAsia="仿宋_GB2312"/>
                <w:sz w:val="24"/>
                <w:szCs w:val="24"/>
              </w:rPr>
              <w:t>新增公告时要选择正确的标的物信息。审核人员注意该时间是否为同一天。</w:t>
            </w:r>
          </w:p>
        </w:tc>
      </w:tr>
      <w:tr>
        <w:tblPrEx>
          <w:tblCellMar>
            <w:top w:w="0" w:type="dxa"/>
            <w:left w:w="108" w:type="dxa"/>
            <w:bottom w:w="0" w:type="dxa"/>
            <w:right w:w="108" w:type="dxa"/>
          </w:tblCellMar>
        </w:tblPrEx>
        <w:trPr>
          <w:trHeight w:val="693" w:hRule="atLeast"/>
          <w:jc w:val="center"/>
        </w:trPr>
        <w:tc>
          <w:tcPr>
            <w:tcW w:w="7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51"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结果公告</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公示开始时间，公示提交时间、公示发布时间必须同一天。</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r>
              <w:rPr>
                <w:rFonts w:hint="eastAsia" w:ascii="仿宋_GB2312" w:hAnsi="Times New Roman" w:eastAsia="仿宋_GB2312"/>
                <w:sz w:val="24"/>
                <w:szCs w:val="24"/>
              </w:rPr>
              <w:t>新增公告时要选择正确的标的物信息。审核人员注意该时间是否为同一天，同时注意公示结束时间与公示开始时间是否有逻辑错误。</w:t>
            </w:r>
          </w:p>
        </w:tc>
      </w:tr>
      <w:tr>
        <w:tblPrEx>
          <w:tblCellMar>
            <w:top w:w="0" w:type="dxa"/>
            <w:left w:w="108" w:type="dxa"/>
            <w:bottom w:w="0" w:type="dxa"/>
            <w:right w:w="108" w:type="dxa"/>
          </w:tblCellMar>
        </w:tblPrEx>
        <w:trPr>
          <w:trHeight w:val="778" w:hRule="atLeast"/>
          <w:jc w:val="center"/>
        </w:trPr>
        <w:tc>
          <w:tcPr>
            <w:tcW w:w="7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6697"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起始价金额和中标金额录入准确，按照每年招租的项目或者单价成交的项目，起始价金额和中标金额必须分别录入总金额。</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r>
              <w:rPr>
                <w:rFonts w:hint="eastAsia" w:ascii="仿宋_GB2312" w:hAnsi="Times New Roman" w:eastAsia="仿宋_GB2312"/>
                <w:sz w:val="24"/>
                <w:szCs w:val="24"/>
              </w:rPr>
              <w:t>审核人员注意金额是否是总价金额。</w:t>
            </w:r>
          </w:p>
        </w:tc>
      </w:tr>
    </w:tbl>
    <w:p>
      <w:pPr>
        <w:ind w:firstLine="643" w:firstLineChars="200"/>
        <w:rPr>
          <w:rFonts w:hint="eastAsia" w:ascii="楷体_GB2312" w:hAnsi="楷体_GB2312"/>
          <w:b/>
          <w:bCs/>
          <w:sz w:val="32"/>
          <w:szCs w:val="32"/>
        </w:rPr>
      </w:pPr>
      <w:r>
        <w:rPr>
          <w:rFonts w:ascii="楷体_GB2312" w:hAnsi="楷体_GB2312"/>
          <w:b/>
          <w:bCs/>
          <w:sz w:val="32"/>
          <w:szCs w:val="32"/>
        </w:rPr>
        <w:t xml:space="preserve"> </w:t>
      </w:r>
    </w:p>
    <w:p>
      <w:pPr>
        <w:ind w:firstLine="643" w:firstLineChars="200"/>
        <w:outlineLvl w:val="0"/>
        <w:rPr>
          <w:rFonts w:hint="eastAsia" w:ascii="楷体_GB2312" w:hAnsi="楷体_GB2312"/>
          <w:b/>
          <w:bCs/>
          <w:sz w:val="32"/>
          <w:szCs w:val="32"/>
        </w:rPr>
      </w:pPr>
      <w:r>
        <w:rPr>
          <w:rFonts w:ascii="楷体_GB2312" w:hAnsi="楷体_GB2312"/>
          <w:b/>
          <w:bCs/>
          <w:sz w:val="32"/>
          <w:szCs w:val="32"/>
        </w:rPr>
        <w:t xml:space="preserve"> </w:t>
      </w:r>
    </w:p>
    <w:p>
      <w:pPr>
        <w:ind w:firstLine="643" w:firstLineChars="200"/>
        <w:outlineLvl w:val="0"/>
        <w:rPr>
          <w:rFonts w:hint="eastAsia" w:ascii="楷体_GB2312" w:hAnsi="楷体_GB2312"/>
          <w:b/>
          <w:bCs/>
          <w:sz w:val="32"/>
          <w:szCs w:val="32"/>
        </w:rPr>
      </w:pPr>
      <w:r>
        <w:rPr>
          <w:rFonts w:ascii="楷体_GB2312" w:hAnsi="楷体_GB2312"/>
          <w:b/>
          <w:bCs/>
          <w:sz w:val="32"/>
          <w:szCs w:val="32"/>
        </w:rPr>
        <w:t xml:space="preserve"> </w:t>
      </w:r>
    </w:p>
    <w:p>
      <w:pPr>
        <w:ind w:firstLine="643" w:firstLineChars="200"/>
        <w:outlineLvl w:val="0"/>
        <w:rPr>
          <w:rFonts w:hint="eastAsia" w:ascii="楷体_GB2312" w:hAnsi="楷体_GB2312"/>
          <w:b/>
          <w:bCs/>
          <w:sz w:val="32"/>
          <w:szCs w:val="32"/>
        </w:rPr>
      </w:pPr>
      <w:r>
        <w:rPr>
          <w:rFonts w:ascii="楷体_GB2312" w:hAnsi="楷体_GB2312"/>
          <w:b/>
          <w:bCs/>
          <w:sz w:val="32"/>
          <w:szCs w:val="32"/>
        </w:rPr>
        <w:t xml:space="preserve"> </w:t>
      </w:r>
    </w:p>
    <w:p>
      <w:pPr>
        <w:ind w:firstLine="643" w:firstLineChars="200"/>
        <w:outlineLvl w:val="0"/>
        <w:rPr>
          <w:rFonts w:hint="eastAsia" w:ascii="楷体_GB2312" w:hAnsi="楷体_GB2312"/>
          <w:b/>
          <w:bCs/>
          <w:sz w:val="32"/>
          <w:szCs w:val="32"/>
        </w:rPr>
      </w:pPr>
      <w:r>
        <w:rPr>
          <w:rFonts w:ascii="楷体_GB2312" w:hAnsi="楷体_GB2312"/>
          <w:b/>
          <w:bCs/>
          <w:sz w:val="32"/>
          <w:szCs w:val="32"/>
        </w:rPr>
        <w:t xml:space="preserve"> </w:t>
      </w:r>
    </w:p>
    <w:p>
      <w:pPr>
        <w:ind w:firstLine="643" w:firstLineChars="200"/>
        <w:outlineLvl w:val="0"/>
        <w:rPr>
          <w:rFonts w:hint="eastAsia" w:ascii="楷体_GB2312" w:hAnsi="楷体_GB2312"/>
          <w:b/>
          <w:bCs/>
          <w:sz w:val="32"/>
          <w:szCs w:val="32"/>
        </w:rPr>
      </w:pPr>
      <w:r>
        <w:rPr>
          <w:rFonts w:ascii="楷体_GB2312" w:hAnsi="楷体_GB2312"/>
          <w:b/>
          <w:bCs/>
          <w:sz w:val="32"/>
          <w:szCs w:val="32"/>
        </w:rPr>
        <w:t xml:space="preserve"> </w:t>
      </w:r>
    </w:p>
    <w:p>
      <w:pPr>
        <w:ind w:firstLine="643" w:firstLineChars="200"/>
        <w:outlineLvl w:val="0"/>
        <w:rPr>
          <w:rFonts w:hint="eastAsia" w:ascii="楷体_GB2312" w:hAnsi="楷体_GB2312"/>
          <w:b/>
          <w:bCs/>
          <w:sz w:val="32"/>
          <w:szCs w:val="32"/>
        </w:rPr>
      </w:pPr>
      <w:r>
        <w:rPr>
          <w:rFonts w:ascii="楷体_GB2312" w:hAnsi="楷体_GB2312"/>
          <w:b/>
          <w:bCs/>
          <w:sz w:val="32"/>
          <w:szCs w:val="32"/>
        </w:rPr>
        <w:t xml:space="preserve"> </w:t>
      </w:r>
    </w:p>
    <w:p>
      <w:pPr>
        <w:ind w:firstLine="643" w:firstLineChars="200"/>
        <w:outlineLvl w:val="0"/>
        <w:rPr>
          <w:rFonts w:hint="eastAsia" w:ascii="楷体_GB2312" w:hAnsi="楷体_GB2312"/>
          <w:b/>
          <w:bCs/>
          <w:sz w:val="32"/>
          <w:szCs w:val="32"/>
        </w:rPr>
      </w:pPr>
      <w:r>
        <w:rPr>
          <w:rFonts w:ascii="楷体_GB2312" w:hAnsi="楷体_GB2312"/>
          <w:b/>
          <w:bCs/>
          <w:sz w:val="32"/>
          <w:szCs w:val="32"/>
        </w:rPr>
        <w:t xml:space="preserve"> </w:t>
      </w:r>
    </w:p>
    <w:p>
      <w:pPr>
        <w:ind w:firstLine="643" w:firstLineChars="200"/>
        <w:outlineLvl w:val="0"/>
        <w:rPr>
          <w:rFonts w:hint="eastAsia" w:ascii="楷体_GB2312" w:hAnsi="楷体_GB2312"/>
          <w:b/>
          <w:bCs/>
          <w:sz w:val="32"/>
          <w:szCs w:val="32"/>
        </w:rPr>
      </w:pPr>
      <w:r>
        <w:rPr>
          <w:rFonts w:ascii="楷体_GB2312" w:hAnsi="楷体_GB2312"/>
          <w:b/>
          <w:bCs/>
          <w:sz w:val="32"/>
          <w:szCs w:val="32"/>
        </w:rPr>
        <w:t xml:space="preserve"> </w:t>
      </w:r>
    </w:p>
    <w:p>
      <w:pPr>
        <w:ind w:firstLine="643" w:firstLineChars="200"/>
        <w:outlineLvl w:val="0"/>
        <w:rPr>
          <w:rFonts w:hint="eastAsia" w:ascii="楷体_GB2312" w:hAnsi="楷体_GB2312"/>
          <w:b/>
          <w:bCs/>
          <w:sz w:val="32"/>
          <w:szCs w:val="32"/>
        </w:rPr>
      </w:pPr>
      <w:r>
        <w:rPr>
          <w:rFonts w:ascii="楷体_GB2312" w:hAnsi="楷体_GB2312"/>
          <w:b/>
          <w:bCs/>
          <w:sz w:val="32"/>
          <w:szCs w:val="32"/>
        </w:rPr>
        <w:t xml:space="preserve"> </w:t>
      </w:r>
    </w:p>
    <w:p>
      <w:pPr>
        <w:ind w:firstLine="643" w:firstLineChars="200"/>
        <w:outlineLvl w:val="0"/>
        <w:rPr>
          <w:rFonts w:hint="eastAsia" w:ascii="楷体_GB2312" w:hAnsi="楷体_GB2312"/>
          <w:b/>
          <w:bCs/>
          <w:sz w:val="32"/>
          <w:szCs w:val="32"/>
        </w:rPr>
      </w:pPr>
      <w:r>
        <w:rPr>
          <w:rFonts w:ascii="楷体_GB2312" w:hAnsi="楷体_GB2312"/>
          <w:b/>
          <w:bCs/>
          <w:sz w:val="32"/>
          <w:szCs w:val="32"/>
        </w:rPr>
        <w:t xml:space="preserve"> </w:t>
      </w:r>
    </w:p>
    <w:p>
      <w:pPr>
        <w:ind w:firstLine="643" w:firstLineChars="200"/>
        <w:outlineLvl w:val="0"/>
        <w:rPr>
          <w:rFonts w:hint="eastAsia" w:ascii="楷体_GB2312" w:hAnsi="楷体_GB2312"/>
          <w:b/>
          <w:bCs/>
          <w:sz w:val="32"/>
          <w:szCs w:val="32"/>
        </w:rPr>
      </w:pPr>
      <w:r>
        <w:rPr>
          <w:rFonts w:ascii="楷体_GB2312" w:hAnsi="楷体_GB2312"/>
          <w:b/>
          <w:bCs/>
          <w:sz w:val="32"/>
          <w:szCs w:val="32"/>
        </w:rPr>
        <w:t xml:space="preserve"> </w:t>
      </w:r>
    </w:p>
    <w:p>
      <w:pPr>
        <w:ind w:firstLine="643" w:firstLineChars="200"/>
        <w:outlineLvl w:val="0"/>
        <w:rPr>
          <w:rFonts w:hint="eastAsia" w:ascii="楷体_GB2312" w:hAnsi="楷体_GB2312"/>
          <w:b/>
          <w:bCs/>
          <w:sz w:val="32"/>
          <w:szCs w:val="32"/>
        </w:rPr>
      </w:pPr>
      <w:bookmarkStart w:id="13" w:name="_Toc12155"/>
      <w:bookmarkEnd w:id="13"/>
      <w:r>
        <w:rPr>
          <w:rFonts w:ascii="楷体_GB2312" w:hAnsi="楷体_GB2312"/>
          <w:b/>
          <w:bCs/>
          <w:sz w:val="32"/>
          <w:szCs w:val="32"/>
        </w:rPr>
        <w:t>十一、</w:t>
      </w:r>
      <w:r>
        <w:rPr>
          <w:rFonts w:hint="eastAsia" w:ascii="楷体_GB2312" w:hAnsi="楷体_GB2312"/>
          <w:b/>
          <w:bCs/>
          <w:sz w:val="32"/>
          <w:szCs w:val="32"/>
        </w:rPr>
        <w:t>淮北</w:t>
      </w:r>
      <w:r>
        <w:rPr>
          <w:rFonts w:ascii="楷体_GB2312" w:hAnsi="楷体_GB2312"/>
          <w:b/>
          <w:bCs/>
          <w:sz w:val="32"/>
          <w:szCs w:val="32"/>
        </w:rPr>
        <w:t>市公共资源交易平台土地（矿业权）交易板块数据录入注意事项</w:t>
      </w:r>
    </w:p>
    <w:tbl>
      <w:tblPr>
        <w:tblStyle w:val="8"/>
        <w:tblW w:w="0" w:type="auto"/>
        <w:jc w:val="center"/>
        <w:tblLayout w:type="fixed"/>
        <w:tblCellMar>
          <w:top w:w="0" w:type="dxa"/>
          <w:left w:w="108" w:type="dxa"/>
          <w:bottom w:w="0" w:type="dxa"/>
          <w:right w:w="108" w:type="dxa"/>
        </w:tblCellMar>
      </w:tblPr>
      <w:tblGrid>
        <w:gridCol w:w="792"/>
        <w:gridCol w:w="751"/>
        <w:gridCol w:w="763"/>
        <w:gridCol w:w="5934"/>
        <w:gridCol w:w="5934"/>
      </w:tblGrid>
      <w:tr>
        <w:tblPrEx>
          <w:tblCellMar>
            <w:top w:w="0" w:type="dxa"/>
            <w:left w:w="108" w:type="dxa"/>
            <w:bottom w:w="0" w:type="dxa"/>
            <w:right w:w="108" w:type="dxa"/>
          </w:tblCellMar>
        </w:tblPrEx>
        <w:trPr>
          <w:jc w:val="center"/>
        </w:trPr>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color w:val="FF0000"/>
                <w:sz w:val="24"/>
                <w:szCs w:val="24"/>
              </w:rPr>
            </w:pPr>
            <w:r>
              <w:rPr>
                <w:rFonts w:hint="eastAsia" w:ascii="仿宋" w:hAnsi="仿宋" w:eastAsia="仿宋"/>
                <w:b/>
                <w:bCs/>
                <w:color w:val="FF0000"/>
                <w:sz w:val="24"/>
                <w:szCs w:val="24"/>
              </w:rPr>
              <w:t>系统板块</w:t>
            </w:r>
          </w:p>
        </w:tc>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color w:val="FF0000"/>
                <w:sz w:val="24"/>
                <w:szCs w:val="24"/>
              </w:rPr>
            </w:pPr>
            <w:r>
              <w:rPr>
                <w:rFonts w:hint="eastAsia" w:ascii="仿宋" w:hAnsi="仿宋" w:eastAsia="仿宋"/>
                <w:b/>
                <w:bCs/>
                <w:color w:val="FF0000"/>
                <w:sz w:val="24"/>
                <w:szCs w:val="24"/>
              </w:rPr>
              <w:t>环节</w:t>
            </w: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color w:val="FF0000"/>
                <w:sz w:val="24"/>
                <w:szCs w:val="24"/>
              </w:rPr>
            </w:pPr>
            <w:r>
              <w:rPr>
                <w:rFonts w:hint="eastAsia" w:ascii="仿宋" w:hAnsi="仿宋" w:eastAsia="仿宋"/>
                <w:b/>
                <w:bCs/>
                <w:color w:val="FF0000"/>
                <w:sz w:val="24"/>
                <w:szCs w:val="24"/>
              </w:rPr>
              <w:t>系统字段</w:t>
            </w:r>
          </w:p>
        </w:tc>
        <w:tc>
          <w:tcPr>
            <w:tcW w:w="59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color w:val="FF0000"/>
                <w:sz w:val="24"/>
                <w:szCs w:val="24"/>
              </w:rPr>
            </w:pPr>
            <w:r>
              <w:rPr>
                <w:rFonts w:hint="eastAsia" w:ascii="仿宋" w:hAnsi="仿宋" w:eastAsia="仿宋"/>
                <w:b/>
                <w:bCs/>
                <w:color w:val="FF0000"/>
                <w:sz w:val="24"/>
                <w:szCs w:val="24"/>
              </w:rPr>
              <w:t>录入要求</w:t>
            </w:r>
          </w:p>
        </w:tc>
        <w:tc>
          <w:tcPr>
            <w:tcW w:w="59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color w:val="FF0000"/>
                <w:sz w:val="24"/>
                <w:szCs w:val="24"/>
              </w:rPr>
            </w:pPr>
            <w:r>
              <w:rPr>
                <w:rFonts w:hint="eastAsia" w:ascii="仿宋" w:hAnsi="仿宋" w:eastAsia="仿宋"/>
                <w:b/>
                <w:bCs/>
                <w:color w:val="FF0000"/>
                <w:sz w:val="24"/>
                <w:szCs w:val="24"/>
              </w:rPr>
              <w:t>注意事项</w:t>
            </w:r>
          </w:p>
        </w:tc>
      </w:tr>
      <w:tr>
        <w:tblPrEx>
          <w:tblCellMar>
            <w:top w:w="0" w:type="dxa"/>
            <w:left w:w="108" w:type="dxa"/>
            <w:bottom w:w="0" w:type="dxa"/>
            <w:right w:w="108" w:type="dxa"/>
          </w:tblCellMar>
        </w:tblPrEx>
        <w:trPr>
          <w:trHeight w:val="457" w:hRule="atLeast"/>
          <w:jc w:val="center"/>
        </w:trPr>
        <w:tc>
          <w:tcPr>
            <w:tcW w:w="792"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土地板块和矿业权</w:t>
            </w:r>
          </w:p>
        </w:tc>
        <w:tc>
          <w:tcPr>
            <w:tcW w:w="751"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项目受理</w:t>
            </w: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项目所属行政区划</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选择项目所在的行政区划。</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1、各代理机构在项目注册提交时选择的“项目行政区划”必须准确，受理审核人员受理时必须要注意此选项。</w:t>
            </w:r>
          </w:p>
          <w:p>
            <w:pPr>
              <w:rPr>
                <w:rFonts w:ascii="仿宋" w:hAnsi="仿宋" w:eastAsia="仿宋"/>
                <w:sz w:val="24"/>
                <w:szCs w:val="24"/>
              </w:rPr>
            </w:pPr>
            <w:r>
              <w:rPr>
                <w:rFonts w:hint="eastAsia" w:ascii="仿宋" w:hAnsi="仿宋" w:eastAsia="仿宋"/>
                <w:sz w:val="24"/>
                <w:szCs w:val="24"/>
              </w:rPr>
              <w:t>2、如县里的项目在市交易中心进行交易，该项目行政区划必须选择所对应的县，不能选择市辖区。</w:t>
            </w:r>
          </w:p>
        </w:tc>
      </w:tr>
      <w:tr>
        <w:tblPrEx>
          <w:tblCellMar>
            <w:top w:w="0" w:type="dxa"/>
            <w:left w:w="108" w:type="dxa"/>
            <w:bottom w:w="0" w:type="dxa"/>
            <w:right w:w="108" w:type="dxa"/>
          </w:tblCellMar>
        </w:tblPrEx>
        <w:trPr>
          <w:jc w:val="center"/>
        </w:trPr>
        <w:tc>
          <w:tcPr>
            <w:tcW w:w="7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出让方式</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可选择：招标、拍卖、挂牌、网上挂牌、网上拍卖</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选择准确。</w:t>
            </w:r>
          </w:p>
        </w:tc>
      </w:tr>
      <w:tr>
        <w:tblPrEx>
          <w:tblCellMar>
            <w:top w:w="0" w:type="dxa"/>
            <w:left w:w="108" w:type="dxa"/>
            <w:bottom w:w="0" w:type="dxa"/>
            <w:right w:w="108" w:type="dxa"/>
          </w:tblCellMar>
        </w:tblPrEx>
        <w:trPr>
          <w:jc w:val="center"/>
        </w:trPr>
        <w:tc>
          <w:tcPr>
            <w:tcW w:w="7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供应方式</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可选择：租赁、招拍挂出让、协议出让、划拨</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选择准确。</w:t>
            </w:r>
          </w:p>
        </w:tc>
      </w:tr>
      <w:tr>
        <w:tblPrEx>
          <w:tblCellMar>
            <w:top w:w="0" w:type="dxa"/>
            <w:left w:w="108" w:type="dxa"/>
            <w:bottom w:w="0" w:type="dxa"/>
            <w:right w:w="108" w:type="dxa"/>
          </w:tblCellMar>
        </w:tblPrEx>
        <w:trPr>
          <w:jc w:val="center"/>
        </w:trPr>
        <w:tc>
          <w:tcPr>
            <w:tcW w:w="7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项目层级</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可以选择省级、市级和县级。</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市辖区项目层级选择市级，各县（市）区项目选择县级。</w:t>
            </w:r>
          </w:p>
        </w:tc>
      </w:tr>
      <w:tr>
        <w:tblPrEx>
          <w:tblCellMar>
            <w:top w:w="0" w:type="dxa"/>
            <w:left w:w="108" w:type="dxa"/>
            <w:bottom w:w="0" w:type="dxa"/>
            <w:right w:w="108" w:type="dxa"/>
          </w:tblCellMar>
        </w:tblPrEx>
        <w:trPr>
          <w:jc w:val="center"/>
        </w:trPr>
        <w:tc>
          <w:tcPr>
            <w:tcW w:w="7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出让类型</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土地出让项目选择：土地出让；矿业权项目选择矿权出让。</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矿业权项目选择矿权出让。</w:t>
            </w:r>
          </w:p>
        </w:tc>
      </w:tr>
      <w:tr>
        <w:tblPrEx>
          <w:tblCellMar>
            <w:top w:w="0" w:type="dxa"/>
            <w:left w:w="108" w:type="dxa"/>
            <w:bottom w:w="0" w:type="dxa"/>
            <w:right w:w="108" w:type="dxa"/>
          </w:tblCellMar>
        </w:tblPrEx>
        <w:trPr>
          <w:trHeight w:val="501" w:hRule="atLeast"/>
          <w:jc w:val="center"/>
        </w:trPr>
        <w:tc>
          <w:tcPr>
            <w:tcW w:w="7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行业类别</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土地出让项目选择：土地出让；矿业权项目选择矿产出让。</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r>
              <w:rPr>
                <w:rFonts w:hint="eastAsia" w:ascii="仿宋" w:hAnsi="仿宋" w:eastAsia="仿宋"/>
                <w:sz w:val="24"/>
                <w:szCs w:val="24"/>
              </w:rPr>
              <w:t>矿业权项目选择矿产出让。</w:t>
            </w:r>
          </w:p>
        </w:tc>
      </w:tr>
      <w:tr>
        <w:tblPrEx>
          <w:tblCellMar>
            <w:top w:w="0" w:type="dxa"/>
            <w:left w:w="108" w:type="dxa"/>
            <w:bottom w:w="0" w:type="dxa"/>
            <w:right w:w="108" w:type="dxa"/>
          </w:tblCellMar>
        </w:tblPrEx>
        <w:trPr>
          <w:trHeight w:val="133" w:hRule="atLeast"/>
          <w:jc w:val="center"/>
        </w:trPr>
        <w:tc>
          <w:tcPr>
            <w:tcW w:w="7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矿业权类型</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可以选择探矿权出让、采矿权出让、采矿权转让</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注意采矿权出让项目要选择采矿权出让，采矿权转让项目要选择采矿权转让，探矿权出让项目要选择探矿权出让。采矿权项目不要选择探矿权。</w:t>
            </w:r>
          </w:p>
        </w:tc>
      </w:tr>
      <w:tr>
        <w:tblPrEx>
          <w:tblCellMar>
            <w:top w:w="0" w:type="dxa"/>
            <w:left w:w="108" w:type="dxa"/>
            <w:bottom w:w="0" w:type="dxa"/>
            <w:right w:w="108" w:type="dxa"/>
          </w:tblCellMar>
        </w:tblPrEx>
        <w:trPr>
          <w:jc w:val="center"/>
        </w:trPr>
        <w:tc>
          <w:tcPr>
            <w:tcW w:w="7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宗地编号</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为保证与别的地市宗号不相同，宗地编号前面可以加辖区编码</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p>
        </w:tc>
      </w:tr>
      <w:tr>
        <w:tblPrEx>
          <w:tblCellMar>
            <w:top w:w="0" w:type="dxa"/>
            <w:left w:w="108" w:type="dxa"/>
            <w:bottom w:w="0" w:type="dxa"/>
            <w:right w:w="108" w:type="dxa"/>
          </w:tblCellMar>
        </w:tblPrEx>
        <w:trPr>
          <w:jc w:val="center"/>
        </w:trPr>
        <w:tc>
          <w:tcPr>
            <w:tcW w:w="7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土地用途</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据实填写</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p>
        </w:tc>
      </w:tr>
      <w:tr>
        <w:tblPrEx>
          <w:tblCellMar>
            <w:top w:w="0" w:type="dxa"/>
            <w:left w:w="108" w:type="dxa"/>
            <w:bottom w:w="0" w:type="dxa"/>
            <w:right w:w="108" w:type="dxa"/>
          </w:tblCellMar>
        </w:tblPrEx>
        <w:trPr>
          <w:jc w:val="center"/>
        </w:trPr>
        <w:tc>
          <w:tcPr>
            <w:tcW w:w="7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cs="宋体"/>
              </w:rPr>
              <w:t>地理位置</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据实填写</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p>
        </w:tc>
      </w:tr>
      <w:tr>
        <w:tblPrEx>
          <w:tblCellMar>
            <w:top w:w="0" w:type="dxa"/>
            <w:left w:w="108" w:type="dxa"/>
            <w:bottom w:w="0" w:type="dxa"/>
            <w:right w:w="108" w:type="dxa"/>
          </w:tblCellMar>
        </w:tblPrEx>
        <w:trPr>
          <w:jc w:val="center"/>
        </w:trPr>
        <w:tc>
          <w:tcPr>
            <w:tcW w:w="7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坐标系类型</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可选择：54坐标系、80坐标系、2000坐标系</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p>
        </w:tc>
      </w:tr>
      <w:tr>
        <w:tblPrEx>
          <w:tblCellMar>
            <w:top w:w="0" w:type="dxa"/>
            <w:left w:w="108" w:type="dxa"/>
            <w:bottom w:w="0" w:type="dxa"/>
            <w:right w:w="108" w:type="dxa"/>
          </w:tblCellMar>
        </w:tblPrEx>
        <w:trPr>
          <w:jc w:val="center"/>
        </w:trPr>
        <w:tc>
          <w:tcPr>
            <w:tcW w:w="7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坐标</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据实填写</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p>
        </w:tc>
      </w:tr>
      <w:tr>
        <w:tblPrEx>
          <w:tblCellMar>
            <w:top w:w="0" w:type="dxa"/>
            <w:left w:w="108" w:type="dxa"/>
            <w:bottom w:w="0" w:type="dxa"/>
            <w:right w:w="108" w:type="dxa"/>
          </w:tblCellMar>
        </w:tblPrEx>
        <w:trPr>
          <w:jc w:val="center"/>
        </w:trPr>
        <w:tc>
          <w:tcPr>
            <w:tcW w:w="7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总用地面积</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据实填写</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p>
        </w:tc>
      </w:tr>
      <w:tr>
        <w:tblPrEx>
          <w:tblCellMar>
            <w:top w:w="0" w:type="dxa"/>
            <w:left w:w="108" w:type="dxa"/>
            <w:bottom w:w="0" w:type="dxa"/>
            <w:right w:w="108" w:type="dxa"/>
          </w:tblCellMar>
        </w:tblPrEx>
        <w:trPr>
          <w:jc w:val="center"/>
        </w:trPr>
        <w:tc>
          <w:tcPr>
            <w:tcW w:w="7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使用年限</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据实填写</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p>
        </w:tc>
      </w:tr>
      <w:tr>
        <w:tblPrEx>
          <w:tblCellMar>
            <w:top w:w="0" w:type="dxa"/>
            <w:left w:w="108" w:type="dxa"/>
            <w:bottom w:w="0" w:type="dxa"/>
            <w:right w:w="108" w:type="dxa"/>
          </w:tblCellMar>
        </w:tblPrEx>
        <w:trPr>
          <w:jc w:val="center"/>
        </w:trPr>
        <w:tc>
          <w:tcPr>
            <w:tcW w:w="7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起拍价</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单位：万元</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p>
        </w:tc>
      </w:tr>
      <w:tr>
        <w:tblPrEx>
          <w:tblCellMar>
            <w:top w:w="0" w:type="dxa"/>
            <w:left w:w="108" w:type="dxa"/>
            <w:bottom w:w="0" w:type="dxa"/>
            <w:right w:w="108" w:type="dxa"/>
          </w:tblCellMar>
        </w:tblPrEx>
        <w:trPr>
          <w:jc w:val="center"/>
        </w:trPr>
        <w:tc>
          <w:tcPr>
            <w:tcW w:w="7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加价幅度</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单位：万元</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p>
        </w:tc>
      </w:tr>
      <w:tr>
        <w:tblPrEx>
          <w:tblCellMar>
            <w:top w:w="0" w:type="dxa"/>
            <w:left w:w="108" w:type="dxa"/>
            <w:bottom w:w="0" w:type="dxa"/>
            <w:right w:w="108" w:type="dxa"/>
          </w:tblCellMar>
        </w:tblPrEx>
        <w:trPr>
          <w:trHeight w:val="773" w:hRule="atLeast"/>
          <w:jc w:val="center"/>
        </w:trPr>
        <w:tc>
          <w:tcPr>
            <w:tcW w:w="7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51"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出让公告</w:t>
            </w: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公告发布开始时间</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选择当天</w:t>
            </w:r>
          </w:p>
        </w:tc>
        <w:tc>
          <w:tcPr>
            <w:tcW w:w="5934" w:type="dxa"/>
            <w:vMerge w:val="restart"/>
            <w:tcBorders>
              <w:top w:val="nil"/>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r>
              <w:rPr>
                <w:rFonts w:hint="eastAsia" w:ascii="仿宋_GB2312" w:hAnsi="Times New Roman" w:eastAsia="仿宋_GB2312"/>
                <w:sz w:val="24"/>
                <w:szCs w:val="24"/>
              </w:rPr>
              <w:t>新增公告时要选择正确的地块。</w:t>
            </w:r>
          </w:p>
        </w:tc>
      </w:tr>
      <w:tr>
        <w:tblPrEx>
          <w:tblCellMar>
            <w:top w:w="0" w:type="dxa"/>
            <w:left w:w="108" w:type="dxa"/>
            <w:bottom w:w="0" w:type="dxa"/>
            <w:right w:w="108" w:type="dxa"/>
          </w:tblCellMar>
        </w:tblPrEx>
        <w:trPr>
          <w:jc w:val="center"/>
        </w:trPr>
        <w:tc>
          <w:tcPr>
            <w:tcW w:w="7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公告发布截止时间</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据实选择</w:t>
            </w:r>
          </w:p>
        </w:tc>
        <w:tc>
          <w:tcPr>
            <w:tcW w:w="593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sz w:val="24"/>
                <w:szCs w:val="24"/>
              </w:rPr>
            </w:pPr>
          </w:p>
        </w:tc>
      </w:tr>
      <w:tr>
        <w:tblPrEx>
          <w:tblCellMar>
            <w:top w:w="0" w:type="dxa"/>
            <w:left w:w="108" w:type="dxa"/>
            <w:bottom w:w="0" w:type="dxa"/>
            <w:right w:w="108" w:type="dxa"/>
          </w:tblCellMar>
        </w:tblPrEx>
        <w:trPr>
          <w:jc w:val="center"/>
        </w:trPr>
        <w:tc>
          <w:tcPr>
            <w:tcW w:w="7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公告性质</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系统自动推送。</w:t>
            </w:r>
          </w:p>
        </w:tc>
        <w:tc>
          <w:tcPr>
            <w:tcW w:w="593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sz w:val="24"/>
                <w:szCs w:val="24"/>
              </w:rPr>
            </w:pPr>
          </w:p>
        </w:tc>
      </w:tr>
      <w:tr>
        <w:tblPrEx>
          <w:tblCellMar>
            <w:top w:w="0" w:type="dxa"/>
            <w:left w:w="108" w:type="dxa"/>
            <w:bottom w:w="0" w:type="dxa"/>
            <w:right w:w="108" w:type="dxa"/>
          </w:tblCellMar>
        </w:tblPrEx>
        <w:trPr>
          <w:jc w:val="center"/>
        </w:trPr>
        <w:tc>
          <w:tcPr>
            <w:tcW w:w="7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发布时间</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及时性字段，系统自动推送审核通过的时间。</w:t>
            </w:r>
          </w:p>
        </w:tc>
        <w:tc>
          <w:tcPr>
            <w:tcW w:w="593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sz w:val="24"/>
                <w:szCs w:val="24"/>
              </w:rPr>
            </w:pPr>
          </w:p>
        </w:tc>
      </w:tr>
      <w:tr>
        <w:tblPrEx>
          <w:tblCellMar>
            <w:top w:w="0" w:type="dxa"/>
            <w:left w:w="108" w:type="dxa"/>
            <w:bottom w:w="0" w:type="dxa"/>
            <w:right w:w="108" w:type="dxa"/>
          </w:tblCellMar>
        </w:tblPrEx>
        <w:trPr>
          <w:jc w:val="center"/>
        </w:trPr>
        <w:tc>
          <w:tcPr>
            <w:tcW w:w="7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报价记录</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每家单位只能录一次报价记录。</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r>
              <w:rPr>
                <w:rFonts w:hint="eastAsia" w:ascii="仿宋_GB2312" w:hAnsi="Times New Roman" w:eastAsia="仿宋_GB2312"/>
                <w:sz w:val="24"/>
                <w:szCs w:val="24"/>
              </w:rPr>
              <w:t>录入最后一次报价即成交价。</w:t>
            </w:r>
          </w:p>
        </w:tc>
      </w:tr>
      <w:tr>
        <w:tblPrEx>
          <w:tblCellMar>
            <w:top w:w="0" w:type="dxa"/>
            <w:left w:w="108" w:type="dxa"/>
            <w:bottom w:w="0" w:type="dxa"/>
            <w:right w:w="108" w:type="dxa"/>
          </w:tblCellMar>
        </w:tblPrEx>
        <w:trPr>
          <w:jc w:val="center"/>
        </w:trPr>
        <w:tc>
          <w:tcPr>
            <w:tcW w:w="7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51"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出让结果公告</w:t>
            </w: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公告性质</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系统自动的推送。</w:t>
            </w:r>
          </w:p>
        </w:tc>
        <w:tc>
          <w:tcPr>
            <w:tcW w:w="5934" w:type="dxa"/>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r>
              <w:rPr>
                <w:rFonts w:hint="eastAsia" w:ascii="仿宋_GB2312" w:hAnsi="Times New Roman" w:eastAsia="仿宋_GB2312"/>
                <w:sz w:val="24"/>
                <w:szCs w:val="24"/>
              </w:rPr>
              <w:t>新增公告时要选择正确的地块。注意金额单位为万元。</w:t>
            </w:r>
          </w:p>
          <w:p>
            <w:pPr>
              <w:rPr>
                <w:rFonts w:ascii="Times New Roman" w:hAnsi="Times New Roman" w:eastAsia="仿宋_GB2312"/>
                <w:sz w:val="24"/>
                <w:szCs w:val="24"/>
              </w:rPr>
            </w:pPr>
          </w:p>
        </w:tc>
      </w:tr>
      <w:tr>
        <w:tblPrEx>
          <w:tblCellMar>
            <w:top w:w="0" w:type="dxa"/>
            <w:left w:w="108" w:type="dxa"/>
            <w:bottom w:w="0" w:type="dxa"/>
            <w:right w:w="108" w:type="dxa"/>
          </w:tblCellMar>
        </w:tblPrEx>
        <w:trPr>
          <w:jc w:val="center"/>
        </w:trPr>
        <w:tc>
          <w:tcPr>
            <w:tcW w:w="7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公告开始时间</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选择当天</w:t>
            </w:r>
          </w:p>
        </w:tc>
        <w:tc>
          <w:tcPr>
            <w:tcW w:w="59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sz w:val="24"/>
                <w:szCs w:val="24"/>
              </w:rPr>
            </w:pPr>
          </w:p>
        </w:tc>
      </w:tr>
      <w:tr>
        <w:tblPrEx>
          <w:tblCellMar>
            <w:top w:w="0" w:type="dxa"/>
            <w:left w:w="108" w:type="dxa"/>
            <w:bottom w:w="0" w:type="dxa"/>
            <w:right w:w="108" w:type="dxa"/>
          </w:tblCellMar>
        </w:tblPrEx>
        <w:trPr>
          <w:jc w:val="center"/>
        </w:trPr>
        <w:tc>
          <w:tcPr>
            <w:tcW w:w="7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公告提交时间</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及时性字段，系统自动推送当前时间</w:t>
            </w:r>
          </w:p>
        </w:tc>
        <w:tc>
          <w:tcPr>
            <w:tcW w:w="59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sz w:val="24"/>
                <w:szCs w:val="24"/>
              </w:rPr>
            </w:pPr>
          </w:p>
        </w:tc>
      </w:tr>
      <w:tr>
        <w:tblPrEx>
          <w:tblCellMar>
            <w:top w:w="0" w:type="dxa"/>
            <w:left w:w="108" w:type="dxa"/>
            <w:bottom w:w="0" w:type="dxa"/>
            <w:right w:w="108" w:type="dxa"/>
          </w:tblCellMar>
        </w:tblPrEx>
        <w:trPr>
          <w:jc w:val="center"/>
        </w:trPr>
        <w:tc>
          <w:tcPr>
            <w:tcW w:w="7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公告结束时间</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据实填写</w:t>
            </w:r>
          </w:p>
        </w:tc>
        <w:tc>
          <w:tcPr>
            <w:tcW w:w="59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sz w:val="24"/>
                <w:szCs w:val="24"/>
              </w:rPr>
            </w:pPr>
          </w:p>
        </w:tc>
      </w:tr>
      <w:tr>
        <w:tblPrEx>
          <w:tblCellMar>
            <w:top w:w="0" w:type="dxa"/>
            <w:left w:w="108" w:type="dxa"/>
            <w:bottom w:w="0" w:type="dxa"/>
            <w:right w:w="108" w:type="dxa"/>
          </w:tblCellMar>
        </w:tblPrEx>
        <w:trPr>
          <w:trHeight w:val="453" w:hRule="atLeast"/>
          <w:jc w:val="center"/>
        </w:trPr>
        <w:tc>
          <w:tcPr>
            <w:tcW w:w="7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竞得人代码</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需填写准确的组织机构代码，自然人填写身份证号码。</w:t>
            </w:r>
          </w:p>
        </w:tc>
        <w:tc>
          <w:tcPr>
            <w:tcW w:w="59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sz w:val="24"/>
                <w:szCs w:val="24"/>
              </w:rPr>
            </w:pPr>
          </w:p>
        </w:tc>
      </w:tr>
      <w:tr>
        <w:tblPrEx>
          <w:tblCellMar>
            <w:top w:w="0" w:type="dxa"/>
            <w:left w:w="108" w:type="dxa"/>
            <w:bottom w:w="0" w:type="dxa"/>
            <w:right w:w="108" w:type="dxa"/>
          </w:tblCellMar>
        </w:tblPrEx>
        <w:trPr>
          <w:trHeight w:val="134" w:hRule="atLeast"/>
          <w:jc w:val="center"/>
        </w:trPr>
        <w:tc>
          <w:tcPr>
            <w:tcW w:w="7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起拍价</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录入每个地块的起拍价总价</w:t>
            </w:r>
          </w:p>
        </w:tc>
        <w:tc>
          <w:tcPr>
            <w:tcW w:w="59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sz w:val="24"/>
                <w:szCs w:val="24"/>
              </w:rPr>
            </w:pPr>
          </w:p>
        </w:tc>
      </w:tr>
      <w:tr>
        <w:tblPrEx>
          <w:tblCellMar>
            <w:top w:w="0" w:type="dxa"/>
            <w:left w:w="108" w:type="dxa"/>
            <w:bottom w:w="0" w:type="dxa"/>
            <w:right w:w="108" w:type="dxa"/>
          </w:tblCellMar>
        </w:tblPrEx>
        <w:trPr>
          <w:trHeight w:val="188" w:hRule="atLeast"/>
          <w:jc w:val="center"/>
        </w:trPr>
        <w:tc>
          <w:tcPr>
            <w:tcW w:w="7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起始价</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录入每个地块的起始价</w:t>
            </w:r>
          </w:p>
        </w:tc>
        <w:tc>
          <w:tcPr>
            <w:tcW w:w="59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sz w:val="24"/>
                <w:szCs w:val="24"/>
              </w:rPr>
            </w:pPr>
          </w:p>
        </w:tc>
      </w:tr>
      <w:tr>
        <w:tblPrEx>
          <w:tblCellMar>
            <w:top w:w="0" w:type="dxa"/>
            <w:left w:w="108" w:type="dxa"/>
            <w:bottom w:w="0" w:type="dxa"/>
            <w:right w:w="108" w:type="dxa"/>
          </w:tblCellMar>
        </w:tblPrEx>
        <w:trPr>
          <w:jc w:val="center"/>
        </w:trPr>
        <w:tc>
          <w:tcPr>
            <w:tcW w:w="7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成交金额</w:t>
            </w:r>
          </w:p>
        </w:tc>
        <w:tc>
          <w:tcPr>
            <w:tcW w:w="59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据实填写</w:t>
            </w:r>
          </w:p>
        </w:tc>
        <w:tc>
          <w:tcPr>
            <w:tcW w:w="59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sz w:val="24"/>
                <w:szCs w:val="24"/>
              </w:rPr>
            </w:pPr>
          </w:p>
        </w:tc>
      </w:tr>
    </w:tbl>
    <w:p>
      <w:pPr>
        <w:ind w:firstLine="643" w:firstLineChars="200"/>
        <w:rPr>
          <w:rFonts w:hint="eastAsia" w:ascii="楷体_GB2312" w:hAnsi="楷体_GB2312"/>
          <w:b/>
          <w:bCs/>
          <w:sz w:val="32"/>
          <w:szCs w:val="32"/>
        </w:rPr>
      </w:pPr>
      <w:r>
        <w:rPr>
          <w:rFonts w:ascii="楷体_GB2312" w:hAnsi="楷体_GB2312"/>
          <w:b/>
          <w:bCs/>
          <w:sz w:val="32"/>
          <w:szCs w:val="32"/>
        </w:rPr>
        <w:t xml:space="preserve"> </w:t>
      </w:r>
    </w:p>
    <w:p>
      <w:pPr>
        <w:ind w:firstLine="643" w:firstLineChars="200"/>
        <w:rPr>
          <w:rFonts w:hint="eastAsia" w:ascii="楷体_GB2312" w:hAnsi="楷体_GB2312"/>
          <w:b/>
          <w:bCs/>
          <w:sz w:val="32"/>
          <w:szCs w:val="32"/>
        </w:rPr>
      </w:pPr>
      <w:r>
        <w:rPr>
          <w:rFonts w:ascii="楷体_GB2312" w:hAnsi="楷体_GB2312"/>
          <w:b/>
          <w:bCs/>
          <w:sz w:val="32"/>
          <w:szCs w:val="32"/>
        </w:rPr>
        <w:t xml:space="preserve"> </w:t>
      </w:r>
    </w:p>
    <w:p>
      <w:pPr>
        <w:ind w:firstLine="643" w:firstLineChars="200"/>
        <w:outlineLvl w:val="0"/>
        <w:rPr>
          <w:rFonts w:hint="eastAsia" w:ascii="楷体_GB2312" w:hAnsi="楷体_GB2312"/>
          <w:b/>
          <w:bCs/>
          <w:sz w:val="32"/>
          <w:szCs w:val="32"/>
        </w:rPr>
      </w:pPr>
      <w:bookmarkStart w:id="14" w:name="_Toc19368"/>
      <w:bookmarkEnd w:id="14"/>
      <w:bookmarkStart w:id="15" w:name="_Toc6815"/>
      <w:bookmarkEnd w:id="15"/>
      <w:r>
        <w:rPr>
          <w:rFonts w:ascii="楷体_GB2312" w:hAnsi="楷体_GB2312"/>
          <w:b/>
          <w:bCs/>
          <w:sz w:val="32"/>
          <w:szCs w:val="32"/>
        </w:rPr>
        <w:t>十</w:t>
      </w:r>
      <w:r>
        <w:rPr>
          <w:rFonts w:hint="eastAsia" w:ascii="楷体_GB2312" w:hAnsi="楷体_GB2312"/>
          <w:b/>
          <w:bCs/>
          <w:sz w:val="32"/>
          <w:szCs w:val="32"/>
        </w:rPr>
        <w:t>二</w:t>
      </w:r>
      <w:r>
        <w:rPr>
          <w:rFonts w:ascii="楷体_GB2312" w:hAnsi="楷体_GB2312"/>
          <w:b/>
          <w:bCs/>
          <w:sz w:val="32"/>
          <w:szCs w:val="32"/>
        </w:rPr>
        <w:t>、</w:t>
      </w:r>
      <w:r>
        <w:rPr>
          <w:rFonts w:hint="eastAsia" w:ascii="楷体_GB2312" w:hAnsi="楷体_GB2312"/>
          <w:b/>
          <w:bCs/>
          <w:sz w:val="32"/>
          <w:szCs w:val="32"/>
        </w:rPr>
        <w:t>淮北</w:t>
      </w:r>
      <w:r>
        <w:rPr>
          <w:rFonts w:ascii="楷体_GB2312" w:hAnsi="楷体_GB2312"/>
          <w:b/>
          <w:bCs/>
          <w:sz w:val="32"/>
          <w:szCs w:val="32"/>
        </w:rPr>
        <w:t>市公共资源交易平台自主交易板块数据录入注意事项</w:t>
      </w:r>
    </w:p>
    <w:tbl>
      <w:tblPr>
        <w:tblStyle w:val="8"/>
        <w:tblW w:w="0" w:type="auto"/>
        <w:jc w:val="center"/>
        <w:tblLayout w:type="fixed"/>
        <w:tblCellMar>
          <w:top w:w="0" w:type="dxa"/>
          <w:left w:w="108" w:type="dxa"/>
          <w:bottom w:w="0" w:type="dxa"/>
          <w:right w:w="108" w:type="dxa"/>
        </w:tblCellMar>
      </w:tblPr>
      <w:tblGrid>
        <w:gridCol w:w="793"/>
        <w:gridCol w:w="715"/>
        <w:gridCol w:w="785"/>
        <w:gridCol w:w="6028"/>
        <w:gridCol w:w="5853"/>
      </w:tblGrid>
      <w:tr>
        <w:tblPrEx>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color w:val="FF0000"/>
                <w:sz w:val="24"/>
                <w:szCs w:val="24"/>
              </w:rPr>
            </w:pPr>
            <w:r>
              <w:rPr>
                <w:rFonts w:hint="eastAsia" w:ascii="仿宋" w:hAnsi="仿宋" w:eastAsia="仿宋"/>
                <w:b/>
                <w:bCs/>
                <w:color w:val="FF0000"/>
                <w:sz w:val="24"/>
                <w:szCs w:val="24"/>
              </w:rPr>
              <w:t>系统板块</w:t>
            </w:r>
          </w:p>
        </w:tc>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color w:val="FF0000"/>
                <w:sz w:val="24"/>
                <w:szCs w:val="24"/>
              </w:rPr>
            </w:pPr>
            <w:r>
              <w:rPr>
                <w:rFonts w:hint="eastAsia" w:ascii="仿宋" w:hAnsi="仿宋" w:eastAsia="仿宋"/>
                <w:b/>
                <w:bCs/>
                <w:color w:val="FF0000"/>
                <w:sz w:val="24"/>
                <w:szCs w:val="24"/>
              </w:rPr>
              <w:t>环节</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color w:val="FF0000"/>
                <w:sz w:val="24"/>
                <w:szCs w:val="24"/>
              </w:rPr>
            </w:pPr>
            <w:r>
              <w:rPr>
                <w:rFonts w:hint="eastAsia" w:ascii="仿宋" w:hAnsi="仿宋" w:eastAsia="仿宋"/>
                <w:b/>
                <w:bCs/>
                <w:color w:val="FF0000"/>
                <w:sz w:val="24"/>
                <w:szCs w:val="24"/>
              </w:rPr>
              <w:t>系统字段</w:t>
            </w:r>
          </w:p>
        </w:tc>
        <w:tc>
          <w:tcPr>
            <w:tcW w:w="60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color w:val="FF0000"/>
                <w:sz w:val="24"/>
                <w:szCs w:val="24"/>
              </w:rPr>
            </w:pPr>
            <w:r>
              <w:rPr>
                <w:rFonts w:hint="eastAsia" w:ascii="仿宋" w:hAnsi="仿宋" w:eastAsia="仿宋"/>
                <w:b/>
                <w:bCs/>
                <w:color w:val="FF0000"/>
                <w:sz w:val="24"/>
                <w:szCs w:val="24"/>
              </w:rPr>
              <w:t>录入要求</w:t>
            </w:r>
          </w:p>
        </w:tc>
        <w:tc>
          <w:tcPr>
            <w:tcW w:w="58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color w:val="FF0000"/>
                <w:sz w:val="24"/>
                <w:szCs w:val="24"/>
              </w:rPr>
            </w:pPr>
            <w:r>
              <w:rPr>
                <w:rFonts w:hint="eastAsia" w:ascii="仿宋" w:hAnsi="仿宋" w:eastAsia="仿宋"/>
                <w:b/>
                <w:bCs/>
                <w:color w:val="FF0000"/>
                <w:sz w:val="24"/>
                <w:szCs w:val="24"/>
              </w:rPr>
              <w:t>注意事项</w:t>
            </w:r>
          </w:p>
        </w:tc>
      </w:tr>
      <w:tr>
        <w:tblPrEx>
          <w:tblCellMar>
            <w:top w:w="0" w:type="dxa"/>
            <w:left w:w="108" w:type="dxa"/>
            <w:bottom w:w="0" w:type="dxa"/>
            <w:right w:w="108" w:type="dxa"/>
          </w:tblCellMar>
        </w:tblPrEx>
        <w:trPr>
          <w:jc w:val="center"/>
        </w:trPr>
        <w:tc>
          <w:tcPr>
            <w:tcW w:w="793"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自主交易（小额工程）</w:t>
            </w:r>
          </w:p>
        </w:tc>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项目注册</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项目所属行政区划</w:t>
            </w:r>
          </w:p>
        </w:tc>
        <w:tc>
          <w:tcPr>
            <w:tcW w:w="602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选择项目所在的行政区划。</w:t>
            </w:r>
          </w:p>
        </w:tc>
        <w:tc>
          <w:tcPr>
            <w:tcW w:w="58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各代理机构在项目注册提交时选择的“项目行政区划”必须准确，受理审核人员受理时必须要注意此选项。</w:t>
            </w:r>
          </w:p>
        </w:tc>
      </w:tr>
      <w:tr>
        <w:tblPrEx>
          <w:tblCellMar>
            <w:top w:w="0" w:type="dxa"/>
            <w:left w:w="108" w:type="dxa"/>
            <w:bottom w:w="0" w:type="dxa"/>
            <w:right w:w="108" w:type="dxa"/>
          </w:tblCellMar>
        </w:tblPrEx>
        <w:trPr>
          <w:jc w:val="center"/>
        </w:trPr>
        <w:tc>
          <w:tcPr>
            <w:tcW w:w="7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公告</w:t>
            </w:r>
          </w:p>
        </w:tc>
        <w:tc>
          <w:tcPr>
            <w:tcW w:w="6813"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公示开始时间，公示提交时间、公示发布时间必须同一天。</w:t>
            </w:r>
          </w:p>
        </w:tc>
        <w:tc>
          <w:tcPr>
            <w:tcW w:w="585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r>
              <w:rPr>
                <w:rFonts w:hint="eastAsia" w:ascii="仿宋_GB2312" w:hAnsi="Times New Roman" w:eastAsia="仿宋_GB2312"/>
                <w:sz w:val="24"/>
                <w:szCs w:val="24"/>
              </w:rPr>
              <w:t>审核人员注意该时间是否为同一天。</w:t>
            </w:r>
          </w:p>
        </w:tc>
      </w:tr>
      <w:tr>
        <w:tblPrEx>
          <w:tblCellMar>
            <w:top w:w="0" w:type="dxa"/>
            <w:left w:w="108" w:type="dxa"/>
            <w:bottom w:w="0" w:type="dxa"/>
            <w:right w:w="108" w:type="dxa"/>
          </w:tblCellMar>
        </w:tblPrEx>
        <w:trPr>
          <w:jc w:val="center"/>
        </w:trPr>
        <w:tc>
          <w:tcPr>
            <w:tcW w:w="7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15"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结果公告</w:t>
            </w:r>
          </w:p>
        </w:tc>
        <w:tc>
          <w:tcPr>
            <w:tcW w:w="6813"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公示开始时间，公示提交时间、公示发布时间必须同一天。</w:t>
            </w:r>
          </w:p>
        </w:tc>
        <w:tc>
          <w:tcPr>
            <w:tcW w:w="585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r>
              <w:rPr>
                <w:rFonts w:hint="eastAsia" w:ascii="仿宋_GB2312" w:hAnsi="Times New Roman" w:eastAsia="仿宋_GB2312"/>
                <w:sz w:val="24"/>
                <w:szCs w:val="24"/>
              </w:rPr>
              <w:t>审核人员注意该时间是否为同一天。</w:t>
            </w:r>
          </w:p>
        </w:tc>
      </w:tr>
      <w:tr>
        <w:tblPrEx>
          <w:tblCellMar>
            <w:top w:w="0" w:type="dxa"/>
            <w:left w:w="108" w:type="dxa"/>
            <w:bottom w:w="0" w:type="dxa"/>
            <w:right w:w="108" w:type="dxa"/>
          </w:tblCellMar>
        </w:tblPrEx>
        <w:trPr>
          <w:trHeight w:val="626" w:hRule="atLeast"/>
          <w:jc w:val="center"/>
        </w:trPr>
        <w:tc>
          <w:tcPr>
            <w:tcW w:w="7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1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起始价金额（预算金额）</w:t>
            </w:r>
          </w:p>
        </w:tc>
        <w:tc>
          <w:tcPr>
            <w:tcW w:w="602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据实填写项目的起始价金额（预算金额、最高投标限价）</w:t>
            </w:r>
          </w:p>
        </w:tc>
        <w:tc>
          <w:tcPr>
            <w:tcW w:w="585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r>
              <w:rPr>
                <w:rFonts w:hint="eastAsia" w:ascii="仿宋_GB2312" w:hAnsi="Times New Roman" w:eastAsia="仿宋_GB2312"/>
                <w:sz w:val="24"/>
                <w:szCs w:val="24"/>
              </w:rPr>
              <w:t>注意金额单位是否准确。</w:t>
            </w:r>
          </w:p>
        </w:tc>
      </w:tr>
      <w:tr>
        <w:tblPrEx>
          <w:tblCellMar>
            <w:top w:w="0" w:type="dxa"/>
            <w:left w:w="108" w:type="dxa"/>
            <w:bottom w:w="0" w:type="dxa"/>
            <w:right w:w="108" w:type="dxa"/>
          </w:tblCellMar>
        </w:tblPrEx>
        <w:trPr>
          <w:jc w:val="center"/>
        </w:trPr>
        <w:tc>
          <w:tcPr>
            <w:tcW w:w="7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1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中标价格</w:t>
            </w:r>
          </w:p>
        </w:tc>
        <w:tc>
          <w:tcPr>
            <w:tcW w:w="602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据实填写项目的中标价格</w:t>
            </w:r>
          </w:p>
        </w:tc>
        <w:tc>
          <w:tcPr>
            <w:tcW w:w="585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r>
              <w:rPr>
                <w:rFonts w:hint="eastAsia" w:ascii="仿宋_GB2312" w:hAnsi="Times New Roman" w:eastAsia="仿宋_GB2312"/>
                <w:sz w:val="24"/>
                <w:szCs w:val="24"/>
              </w:rPr>
              <w:t>注意金额单位是否准确。</w:t>
            </w:r>
          </w:p>
        </w:tc>
      </w:tr>
    </w:tbl>
    <w:p>
      <w:r>
        <w:t xml:space="preserve"> </w:t>
      </w:r>
    </w:p>
    <w:p/>
    <w:sectPr>
      <w:footerReference r:id="rId4" w:type="default"/>
      <w:pgSz w:w="16838" w:h="11906" w:orient="landscape"/>
      <w:pgMar w:top="1800" w:right="1440" w:bottom="1800"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仿宋_GBK">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3</w:t>
                </w:r>
                <w:r>
                  <w:fldChar w:fldCharType="end"/>
                </w:r>
                <w: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IwYjdjNzJjNmVjNjY5NDg3ZmI3ZjhkMmYwMWUzZGYifQ=="/>
  </w:docVars>
  <w:rsids>
    <w:rsidRoot w:val="00CE31AF"/>
    <w:rsid w:val="00094FEE"/>
    <w:rsid w:val="0026000F"/>
    <w:rsid w:val="002C7D80"/>
    <w:rsid w:val="002E0E5A"/>
    <w:rsid w:val="002F7811"/>
    <w:rsid w:val="003843F0"/>
    <w:rsid w:val="004F3E9E"/>
    <w:rsid w:val="00606FF4"/>
    <w:rsid w:val="00806FD5"/>
    <w:rsid w:val="008A07DC"/>
    <w:rsid w:val="00A05C7F"/>
    <w:rsid w:val="00A31A70"/>
    <w:rsid w:val="00CA2914"/>
    <w:rsid w:val="00CE31AF"/>
    <w:rsid w:val="00CF6D28"/>
    <w:rsid w:val="00D54C1E"/>
    <w:rsid w:val="0E6D6F25"/>
    <w:rsid w:val="2A1F3DA3"/>
    <w:rsid w:val="3E134021"/>
    <w:rsid w:val="4F461B3A"/>
    <w:rsid w:val="611B5DDB"/>
    <w:rsid w:val="73EA7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snapToGrid w:val="0"/>
      <w:jc w:val="left"/>
    </w:pPr>
    <w:rPr>
      <w:sz w:val="18"/>
      <w:szCs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nhideWhenUsed/>
    <w:qFormat/>
    <w:uiPriority w:val="99"/>
  </w:style>
  <w:style w:type="paragraph" w:styleId="7">
    <w:name w:val="annotation subject"/>
    <w:basedOn w:val="2"/>
    <w:next w:val="2"/>
    <w:link w:val="14"/>
    <w:semiHidden/>
    <w:unhideWhenUsed/>
    <w:qFormat/>
    <w:uiPriority w:val="99"/>
    <w:rPr>
      <w:b/>
      <w:bCs/>
    </w:rPr>
  </w:style>
  <w:style w:type="character" w:styleId="10">
    <w:name w:val="Hyperlink"/>
    <w:basedOn w:val="9"/>
    <w:unhideWhenUsed/>
    <w:qFormat/>
    <w:uiPriority w:val="99"/>
    <w:rPr>
      <w:color w:val="0000FF"/>
      <w:u w:val="single"/>
    </w:rPr>
  </w:style>
  <w:style w:type="character" w:styleId="11">
    <w:name w:val="annotation reference"/>
    <w:basedOn w:val="9"/>
    <w:semiHidden/>
    <w:unhideWhenUsed/>
    <w:uiPriority w:val="99"/>
    <w:rPr>
      <w:sz w:val="21"/>
      <w:szCs w:val="21"/>
    </w:rPr>
  </w:style>
  <w:style w:type="character" w:customStyle="1" w:styleId="12">
    <w:name w:val="页脚 Char"/>
    <w:basedOn w:val="9"/>
    <w:link w:val="4"/>
    <w:qFormat/>
    <w:uiPriority w:val="99"/>
    <w:rPr>
      <w:rFonts w:ascii="Calibri" w:hAnsi="Calibri" w:eastAsia="宋体" w:cs="Times New Roman"/>
      <w:sz w:val="18"/>
      <w:szCs w:val="18"/>
    </w:rPr>
  </w:style>
  <w:style w:type="character" w:customStyle="1" w:styleId="13">
    <w:name w:val="批注文字 Char"/>
    <w:basedOn w:val="9"/>
    <w:link w:val="2"/>
    <w:semiHidden/>
    <w:qFormat/>
    <w:uiPriority w:val="99"/>
    <w:rPr>
      <w:rFonts w:ascii="Calibri" w:hAnsi="Calibri" w:eastAsia="宋体" w:cs="Times New Roman"/>
      <w:kern w:val="2"/>
      <w:sz w:val="21"/>
      <w:szCs w:val="21"/>
    </w:rPr>
  </w:style>
  <w:style w:type="character" w:customStyle="1" w:styleId="14">
    <w:name w:val="批注主题 Char"/>
    <w:basedOn w:val="13"/>
    <w:link w:val="7"/>
    <w:semiHidden/>
    <w:qFormat/>
    <w:uiPriority w:val="99"/>
    <w:rPr>
      <w:b/>
      <w:bCs/>
    </w:rPr>
  </w:style>
  <w:style w:type="character" w:customStyle="1" w:styleId="15">
    <w:name w:val="批注框文本 Char"/>
    <w:basedOn w:val="9"/>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BAF25D-7B3F-4BFF-9F90-57D228C9AFF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2944</Words>
  <Characters>16786</Characters>
  <Lines>139</Lines>
  <Paragraphs>39</Paragraphs>
  <TotalTime>9</TotalTime>
  <ScaleCrop>false</ScaleCrop>
  <LinksUpToDate>false</LinksUpToDate>
  <CharactersWithSpaces>19691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2023-11-06T23:56:00Z</dcterms:created>
  <dc:creator>吕一峰</dc:creator>
  <cp:lastModifiedBy>紫气东来</cp:lastModifiedBy>
  <dcterms:modified xsi:type="dcterms:W3CDTF">2023-11-16T00:07:48Z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8ABBF7308B084D20B35DB8103B8A3A4F_12</vt:lpwstr>
  </property>
</Properties>
</file>