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contextualSpacing/>
        <w:jc w:val="center"/>
        <w:rPr>
          <w:rFonts w:ascii="方正小标宋简体" w:hAnsi="方正小标宋简体" w:eastAsia="方正小标宋简体" w:cs="方正小标宋简体"/>
          <w:bCs/>
          <w:color w:val="auto"/>
          <w:w w:val="95"/>
          <w:sz w:val="44"/>
          <w:szCs w:val="44"/>
        </w:rPr>
      </w:pPr>
      <w:bookmarkStart w:id="0" w:name="_Toc1182"/>
      <w:bookmarkEnd w:id="0"/>
      <w:bookmarkStart w:id="1" w:name="_Toc359317651"/>
      <w:bookmarkStart w:id="2" w:name="_Toc366057710"/>
    </w:p>
    <w:p>
      <w:pPr>
        <w:spacing w:line="560" w:lineRule="exact"/>
        <w:contextualSpacing/>
        <w:jc w:val="center"/>
        <w:rPr>
          <w:rFonts w:ascii="方正小标宋简体" w:hAnsi="方正小标宋简体" w:eastAsia="方正小标宋简体" w:cs="方正小标宋简体"/>
          <w:bCs/>
          <w:color w:val="auto"/>
          <w:w w:val="95"/>
          <w:sz w:val="44"/>
          <w:szCs w:val="44"/>
        </w:rPr>
      </w:pPr>
    </w:p>
    <w:p>
      <w:pPr>
        <w:spacing w:line="560" w:lineRule="exact"/>
        <w:contextualSpacing/>
        <w:jc w:val="center"/>
        <w:rPr>
          <w:rFonts w:ascii="方正小标宋简体" w:hAnsi="方正小标宋简体" w:eastAsia="方正小标宋简体" w:cs="方正小标宋简体"/>
          <w:bCs/>
          <w:color w:val="auto"/>
          <w:w w:val="95"/>
          <w:sz w:val="44"/>
          <w:szCs w:val="44"/>
        </w:rPr>
      </w:pPr>
    </w:p>
    <w:p>
      <w:pPr>
        <w:spacing w:line="560" w:lineRule="exact"/>
        <w:contextualSpacing/>
        <w:jc w:val="center"/>
        <w:rPr>
          <w:rFonts w:ascii="方正小标宋简体" w:hAnsi="方正小标宋简体" w:eastAsia="方正小标宋简体" w:cs="方正小标宋简体"/>
          <w:bCs/>
          <w:color w:val="auto"/>
          <w:w w:val="95"/>
          <w:sz w:val="44"/>
          <w:szCs w:val="44"/>
        </w:rPr>
      </w:pPr>
    </w:p>
    <w:p>
      <w:pPr>
        <w:spacing w:line="560" w:lineRule="exact"/>
        <w:contextualSpacing/>
        <w:jc w:val="center"/>
        <w:rPr>
          <w:rFonts w:ascii="方正小标宋简体" w:hAnsi="方正小标宋简体" w:eastAsia="方正小标宋简体" w:cs="方正小标宋简体"/>
          <w:bCs/>
          <w:color w:val="auto"/>
          <w:w w:val="95"/>
          <w:sz w:val="44"/>
          <w:szCs w:val="44"/>
        </w:rPr>
      </w:pPr>
      <w:r>
        <w:rPr>
          <w:rFonts w:hint="eastAsia" w:ascii="方正小标宋简体" w:hAnsi="方正小标宋简体" w:eastAsia="方正小标宋简体" w:cs="方正小标宋简体"/>
          <w:bCs/>
          <w:color w:val="auto"/>
          <w:w w:val="95"/>
          <w:sz w:val="44"/>
          <w:szCs w:val="44"/>
        </w:rPr>
        <w:t>2023年度淮北市公共资源交易中心</w:t>
      </w:r>
    </w:p>
    <w:p>
      <w:pPr>
        <w:spacing w:line="560" w:lineRule="exact"/>
        <w:contextualSpacing/>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w w:val="95"/>
          <w:sz w:val="44"/>
          <w:szCs w:val="44"/>
        </w:rPr>
        <w:t>信息系统</w:t>
      </w:r>
      <w:r>
        <w:rPr>
          <w:rFonts w:hint="eastAsia" w:ascii="方正小标宋简体" w:hAnsi="方正小标宋简体" w:eastAsia="方正小标宋简体" w:cs="方正小标宋简体"/>
          <w:bCs/>
          <w:color w:val="auto"/>
          <w:sz w:val="44"/>
          <w:szCs w:val="44"/>
        </w:rPr>
        <w:t>等级保护测评项目</w:t>
      </w:r>
    </w:p>
    <w:p>
      <w:pPr>
        <w:spacing w:line="560" w:lineRule="exact"/>
        <w:jc w:val="center"/>
        <w:rPr>
          <w:rFonts w:ascii="宋体" w:hAnsi="宋体" w:cs="仿宋"/>
          <w:b/>
          <w:color w:val="auto"/>
          <w:sz w:val="52"/>
          <w:szCs w:val="52"/>
        </w:rPr>
      </w:pPr>
      <w:r>
        <w:rPr>
          <w:rFonts w:hint="eastAsia" w:ascii="方正小标宋简体" w:hAnsi="方正小标宋简体" w:eastAsia="方正小标宋简体" w:cs="方正小标宋简体"/>
          <w:bCs/>
          <w:color w:val="auto"/>
          <w:sz w:val="44"/>
          <w:szCs w:val="44"/>
        </w:rPr>
        <w:t>竞争性磋商文件</w:t>
      </w:r>
      <w:r>
        <w:rPr>
          <w:rFonts w:hint="eastAsia" w:ascii="宋体" w:hAnsi="宋体" w:cs="仿宋"/>
          <w:b/>
          <w:color w:val="auto"/>
          <w:sz w:val="52"/>
          <w:szCs w:val="52"/>
        </w:rPr>
        <w:t xml:space="preserve">  </w:t>
      </w:r>
    </w:p>
    <w:p>
      <w:pPr>
        <w:spacing w:before="240" w:after="120" w:line="480" w:lineRule="atLeast"/>
        <w:rPr>
          <w:rFonts w:ascii="宋体" w:hAnsi="宋体" w:cs="仿宋"/>
          <w:snapToGrid w:val="0"/>
          <w:color w:val="auto"/>
          <w:sz w:val="28"/>
          <w:szCs w:val="28"/>
        </w:rPr>
      </w:pPr>
    </w:p>
    <w:p>
      <w:pPr>
        <w:spacing w:before="240" w:after="120" w:line="480" w:lineRule="atLeast"/>
        <w:rPr>
          <w:rFonts w:ascii="宋体" w:hAnsi="宋体" w:cs="仿宋"/>
          <w:snapToGrid w:val="0"/>
          <w:color w:val="auto"/>
          <w:sz w:val="28"/>
          <w:szCs w:val="28"/>
        </w:rPr>
      </w:pPr>
    </w:p>
    <w:p>
      <w:pPr>
        <w:spacing w:before="240" w:after="120" w:line="480" w:lineRule="atLeast"/>
        <w:rPr>
          <w:rFonts w:ascii="宋体" w:hAnsi="宋体" w:cs="仿宋"/>
          <w:snapToGrid w:val="0"/>
          <w:color w:val="auto"/>
          <w:sz w:val="28"/>
          <w:szCs w:val="28"/>
        </w:rPr>
      </w:pPr>
    </w:p>
    <w:p>
      <w:pPr>
        <w:spacing w:before="240" w:after="120" w:line="480" w:lineRule="atLeast"/>
        <w:rPr>
          <w:rFonts w:ascii="宋体" w:hAnsi="宋体" w:cs="仿宋"/>
          <w:snapToGrid w:val="0"/>
          <w:color w:val="auto"/>
          <w:sz w:val="28"/>
          <w:szCs w:val="28"/>
        </w:rPr>
      </w:pPr>
    </w:p>
    <w:p>
      <w:pPr>
        <w:spacing w:before="240" w:after="120" w:line="480" w:lineRule="atLeast"/>
        <w:rPr>
          <w:rFonts w:ascii="宋体" w:hAnsi="宋体" w:cs="仿宋"/>
          <w:snapToGrid w:val="0"/>
          <w:color w:val="auto"/>
          <w:sz w:val="28"/>
          <w:szCs w:val="28"/>
        </w:rPr>
      </w:pPr>
    </w:p>
    <w:p>
      <w:pPr>
        <w:spacing w:before="240" w:after="120" w:line="480" w:lineRule="atLeast"/>
        <w:rPr>
          <w:rFonts w:ascii="宋体" w:hAnsi="宋体" w:cs="仿宋"/>
          <w:snapToGrid w:val="0"/>
          <w:color w:val="auto"/>
          <w:sz w:val="28"/>
          <w:szCs w:val="28"/>
        </w:rPr>
      </w:pPr>
    </w:p>
    <w:p>
      <w:pPr>
        <w:spacing w:before="240" w:after="120" w:line="480" w:lineRule="atLeast"/>
        <w:rPr>
          <w:rFonts w:ascii="宋体" w:hAnsi="宋体" w:cs="仿宋"/>
          <w:snapToGrid w:val="0"/>
          <w:color w:val="auto"/>
          <w:sz w:val="28"/>
          <w:szCs w:val="28"/>
        </w:rPr>
      </w:pPr>
    </w:p>
    <w:p>
      <w:pPr>
        <w:spacing w:before="240" w:after="120" w:line="480" w:lineRule="atLeast"/>
        <w:rPr>
          <w:rFonts w:ascii="仿宋_GB2312" w:hAnsi="仿宋_GB2312" w:eastAsia="仿宋_GB2312" w:cs="仿宋_GB2312"/>
          <w:snapToGrid w:val="0"/>
          <w:color w:val="auto"/>
          <w:sz w:val="32"/>
          <w:szCs w:val="32"/>
        </w:rPr>
      </w:pPr>
    </w:p>
    <w:p>
      <w:pPr>
        <w:spacing w:before="240" w:after="120" w:line="480" w:lineRule="atLeas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淮北市公共资源交易中心</w:t>
      </w:r>
    </w:p>
    <w:p>
      <w:pPr>
        <w:spacing w:before="240" w:after="120" w:line="480" w:lineRule="atLeas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2023年1</w:t>
      </w:r>
      <w:r>
        <w:rPr>
          <w:rFonts w:hint="eastAsia" w:ascii="仿宋_GB2312" w:hAnsi="仿宋_GB2312" w:eastAsia="仿宋_GB2312" w:cs="仿宋_GB2312"/>
          <w:color w:val="auto"/>
          <w:sz w:val="32"/>
          <w:szCs w:val="32"/>
          <w:lang w:val="en-US" w:eastAsia="zh-CN"/>
        </w:rPr>
        <w:t>1</w:t>
      </w:r>
      <w:bookmarkStart w:id="28" w:name="_GoBack"/>
      <w:bookmarkEnd w:id="28"/>
      <w:r>
        <w:rPr>
          <w:rFonts w:hint="eastAsia" w:ascii="仿宋_GB2312" w:hAnsi="仿宋_GB2312" w:eastAsia="仿宋_GB2312" w:cs="仿宋_GB2312"/>
          <w:color w:val="auto"/>
          <w:sz w:val="32"/>
          <w:szCs w:val="32"/>
        </w:rPr>
        <w:t>月</w:t>
      </w:r>
    </w:p>
    <w:p>
      <w:pPr>
        <w:pStyle w:val="3"/>
        <w:keepNext w:val="0"/>
        <w:keepLines/>
        <w:pageBreakBefore/>
        <w:numPr>
          <w:ilvl w:val="0"/>
          <w:numId w:val="0"/>
        </w:numPr>
        <w:spacing w:before="240" w:after="120" w:line="480" w:lineRule="atLeast"/>
        <w:jc w:val="center"/>
        <w:rPr>
          <w:rFonts w:ascii="宋体" w:hAnsi="宋体" w:eastAsia="宋体" w:cs="Arial"/>
          <w:b/>
          <w:color w:val="auto"/>
          <w:sz w:val="36"/>
          <w:lang w:bidi="ar-SA"/>
        </w:rPr>
      </w:pPr>
      <w:r>
        <w:rPr>
          <w:rFonts w:hint="eastAsia" w:ascii="宋体" w:hAnsi="宋体" w:eastAsia="宋体" w:cs="Arial"/>
          <w:b/>
          <w:color w:val="auto"/>
          <w:sz w:val="36"/>
          <w:lang w:bidi="ar-SA"/>
        </w:rPr>
        <w:t>竞争性磋商文件</w:t>
      </w:r>
      <w:bookmarkEnd w:id="1"/>
      <w:bookmarkEnd w:id="2"/>
    </w:p>
    <w:p>
      <w:pPr>
        <w:pStyle w:val="4"/>
        <w:keepNext w:val="0"/>
        <w:spacing w:before="240" w:after="120" w:line="480" w:lineRule="atLeast"/>
        <w:jc w:val="center"/>
        <w:rPr>
          <w:rFonts w:ascii="宋体" w:hAnsi="宋体" w:eastAsia="宋体"/>
          <w:color w:val="auto"/>
          <w:sz w:val="30"/>
        </w:rPr>
      </w:pPr>
      <w:bookmarkStart w:id="3" w:name="_Hlt80678233"/>
      <w:bookmarkEnd w:id="3"/>
      <w:bookmarkStart w:id="4" w:name="_Hlt80679443"/>
      <w:bookmarkEnd w:id="4"/>
      <w:bookmarkStart w:id="5" w:name="_Hlt80679447"/>
      <w:bookmarkEnd w:id="5"/>
      <w:bookmarkStart w:id="6" w:name="_Toc366057711"/>
      <w:bookmarkStart w:id="7" w:name="_Toc359317652"/>
      <w:bookmarkStart w:id="8" w:name="_Hlk450145046"/>
      <w:r>
        <w:rPr>
          <w:rFonts w:hint="eastAsia" w:ascii="宋体" w:hAnsi="宋体" w:eastAsia="宋体"/>
          <w:color w:val="auto"/>
          <w:sz w:val="30"/>
        </w:rPr>
        <w:t>供应商须知前附表</w:t>
      </w:r>
      <w:bookmarkEnd w:id="6"/>
      <w:bookmarkEnd w:id="7"/>
      <w:bookmarkEnd w:id="8"/>
    </w:p>
    <w:tbl>
      <w:tblPr>
        <w:tblStyle w:val="323"/>
        <w:tblW w:w="8565" w:type="dxa"/>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7"/>
        <w:gridCol w:w="1803"/>
        <w:gridCol w:w="5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27" w:type="dxa"/>
            <w:vAlign w:val="center"/>
          </w:tcPr>
          <w:p>
            <w:pPr>
              <w:pStyle w:val="154"/>
              <w:spacing w:before="48"/>
              <w:jc w:val="center"/>
              <w:rPr>
                <w:rFonts w:ascii="Microsoft JhengHei" w:eastAsia="Microsoft JhengHei"/>
                <w:b/>
                <w:color w:val="auto"/>
                <w:sz w:val="21"/>
              </w:rPr>
            </w:pPr>
            <w:r>
              <w:rPr>
                <w:rFonts w:hint="eastAsia"/>
                <w:b/>
                <w:color w:val="auto"/>
                <w:sz w:val="21"/>
              </w:rPr>
              <w:t>序号</w:t>
            </w:r>
          </w:p>
        </w:tc>
        <w:tc>
          <w:tcPr>
            <w:tcW w:w="1803" w:type="dxa"/>
            <w:vAlign w:val="center"/>
          </w:tcPr>
          <w:p>
            <w:pPr>
              <w:pStyle w:val="154"/>
              <w:spacing w:before="48"/>
              <w:jc w:val="center"/>
              <w:rPr>
                <w:rFonts w:ascii="Microsoft JhengHei" w:eastAsia="Microsoft JhengHei"/>
                <w:b/>
                <w:color w:val="auto"/>
                <w:sz w:val="21"/>
              </w:rPr>
            </w:pPr>
            <w:r>
              <w:rPr>
                <w:rFonts w:hint="eastAsia" w:ascii="Microsoft JhengHei" w:eastAsia="Microsoft JhengHei"/>
                <w:b/>
                <w:color w:val="auto"/>
                <w:sz w:val="21"/>
              </w:rPr>
              <w:t>条款名称</w:t>
            </w:r>
          </w:p>
        </w:tc>
        <w:tc>
          <w:tcPr>
            <w:tcW w:w="5535" w:type="dxa"/>
            <w:vAlign w:val="center"/>
          </w:tcPr>
          <w:p>
            <w:pPr>
              <w:pStyle w:val="154"/>
              <w:tabs>
                <w:tab w:val="left" w:pos="429"/>
                <w:tab w:val="left" w:pos="849"/>
                <w:tab w:val="left" w:pos="1269"/>
              </w:tabs>
              <w:spacing w:before="48"/>
              <w:jc w:val="center"/>
              <w:rPr>
                <w:rFonts w:ascii="Microsoft JhengHei" w:eastAsia="Microsoft JhengHei"/>
                <w:b/>
                <w:color w:val="auto"/>
                <w:sz w:val="21"/>
              </w:rPr>
            </w:pPr>
            <w:r>
              <w:rPr>
                <w:rFonts w:hint="eastAsia" w:ascii="Microsoft JhengHei" w:eastAsia="Microsoft JhengHei"/>
                <w:b/>
                <w:color w:val="auto"/>
                <w:sz w:val="21"/>
              </w:rPr>
              <w:t>编</w:t>
            </w:r>
            <w:r>
              <w:rPr>
                <w:rFonts w:hint="eastAsia" w:ascii="Microsoft JhengHei" w:eastAsia="Microsoft JhengHei"/>
                <w:b/>
                <w:color w:val="auto"/>
                <w:sz w:val="21"/>
              </w:rPr>
              <w:tab/>
            </w:r>
            <w:r>
              <w:rPr>
                <w:rFonts w:hint="eastAsia" w:ascii="Microsoft JhengHei" w:eastAsia="Microsoft JhengHei"/>
                <w:b/>
                <w:color w:val="auto"/>
                <w:sz w:val="21"/>
              </w:rPr>
              <w:t>列</w:t>
            </w:r>
            <w:r>
              <w:rPr>
                <w:rFonts w:hint="eastAsia" w:ascii="Microsoft JhengHei" w:eastAsia="Microsoft JhengHei"/>
                <w:b/>
                <w:color w:val="auto"/>
                <w:sz w:val="21"/>
              </w:rPr>
              <w:tab/>
            </w:r>
            <w:r>
              <w:rPr>
                <w:rFonts w:hint="eastAsia" w:ascii="Microsoft JhengHei" w:eastAsia="Microsoft JhengHei"/>
                <w:b/>
                <w:color w:val="auto"/>
                <w:sz w:val="21"/>
              </w:rPr>
              <w:t>内</w:t>
            </w:r>
            <w:r>
              <w:rPr>
                <w:rFonts w:hint="eastAsia" w:ascii="Microsoft JhengHei" w:eastAsia="Microsoft JhengHei"/>
                <w:b/>
                <w:color w:val="auto"/>
                <w:sz w:val="21"/>
              </w:rPr>
              <w:tab/>
            </w:r>
            <w:r>
              <w:rPr>
                <w:rFonts w:hint="eastAsia" w:ascii="Microsoft JhengHei" w:eastAsia="Microsoft JhengHei"/>
                <w:b/>
                <w:color w:val="auto"/>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27" w:type="dxa"/>
            <w:vAlign w:val="center"/>
          </w:tcPr>
          <w:p>
            <w:pPr>
              <w:pStyle w:val="154"/>
              <w:jc w:val="center"/>
              <w:rPr>
                <w:rFonts w:ascii="Times New Roman"/>
                <w:color w:val="auto"/>
                <w:sz w:val="21"/>
              </w:rPr>
            </w:pPr>
            <w:r>
              <w:rPr>
                <w:rFonts w:ascii="Times New Roman"/>
                <w:color w:val="auto"/>
                <w:sz w:val="21"/>
              </w:rPr>
              <w:t>1</w:t>
            </w:r>
          </w:p>
        </w:tc>
        <w:tc>
          <w:tcPr>
            <w:tcW w:w="1803" w:type="dxa"/>
            <w:vAlign w:val="center"/>
          </w:tcPr>
          <w:p>
            <w:pPr>
              <w:pStyle w:val="154"/>
              <w:spacing w:before="117"/>
              <w:rPr>
                <w:color w:val="auto"/>
                <w:sz w:val="21"/>
              </w:rPr>
            </w:pPr>
            <w:r>
              <w:rPr>
                <w:color w:val="auto"/>
                <w:sz w:val="21"/>
              </w:rPr>
              <w:t>采购人</w:t>
            </w:r>
          </w:p>
        </w:tc>
        <w:tc>
          <w:tcPr>
            <w:tcW w:w="5535" w:type="dxa"/>
            <w:vAlign w:val="center"/>
          </w:tcPr>
          <w:p>
            <w:pPr>
              <w:pStyle w:val="154"/>
              <w:spacing w:before="117"/>
              <w:rPr>
                <w:color w:val="auto"/>
                <w:sz w:val="21"/>
              </w:rPr>
            </w:pPr>
            <w:r>
              <w:rPr>
                <w:rFonts w:hint="eastAsia"/>
                <w:color w:val="auto"/>
                <w:sz w:val="21"/>
              </w:rPr>
              <w:t>淮北市公共资源交易中心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27" w:type="dxa"/>
            <w:vAlign w:val="center"/>
          </w:tcPr>
          <w:p>
            <w:pPr>
              <w:pStyle w:val="154"/>
              <w:jc w:val="center"/>
              <w:rPr>
                <w:rFonts w:ascii="Times New Roman"/>
                <w:color w:val="auto"/>
                <w:sz w:val="21"/>
              </w:rPr>
            </w:pPr>
            <w:r>
              <w:rPr>
                <w:rFonts w:ascii="Times New Roman"/>
                <w:color w:val="auto"/>
                <w:sz w:val="21"/>
              </w:rPr>
              <w:t>2</w:t>
            </w:r>
          </w:p>
        </w:tc>
        <w:tc>
          <w:tcPr>
            <w:tcW w:w="1803" w:type="dxa"/>
            <w:vAlign w:val="center"/>
          </w:tcPr>
          <w:p>
            <w:pPr>
              <w:pStyle w:val="154"/>
              <w:spacing w:before="117"/>
              <w:rPr>
                <w:color w:val="auto"/>
                <w:sz w:val="21"/>
              </w:rPr>
            </w:pPr>
            <w:r>
              <w:rPr>
                <w:color w:val="auto"/>
                <w:sz w:val="21"/>
              </w:rPr>
              <w:t>采购项目名称</w:t>
            </w:r>
          </w:p>
        </w:tc>
        <w:tc>
          <w:tcPr>
            <w:tcW w:w="5535" w:type="dxa"/>
            <w:vAlign w:val="center"/>
          </w:tcPr>
          <w:p>
            <w:pPr>
              <w:spacing w:line="560" w:lineRule="exact"/>
              <w:contextualSpacing/>
              <w:rPr>
                <w:color w:val="auto"/>
              </w:rPr>
            </w:pPr>
            <w:r>
              <w:rPr>
                <w:rFonts w:hint="eastAsia" w:ascii="宋体" w:hAnsi="宋体" w:cs="宋体"/>
                <w:color w:val="auto"/>
                <w:szCs w:val="22"/>
              </w:rPr>
              <w:t>202</w:t>
            </w:r>
            <w:r>
              <w:rPr>
                <w:rFonts w:ascii="宋体" w:hAnsi="宋体" w:cs="宋体"/>
                <w:color w:val="auto"/>
                <w:szCs w:val="22"/>
              </w:rPr>
              <w:t>3</w:t>
            </w:r>
            <w:r>
              <w:rPr>
                <w:rFonts w:hint="eastAsia" w:ascii="宋体" w:hAnsi="宋体" w:cs="宋体"/>
                <w:color w:val="auto"/>
                <w:szCs w:val="22"/>
              </w:rPr>
              <w:t>年度淮北市公共资源交易中心信息系统等级保护测评项目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27" w:type="dxa"/>
            <w:vAlign w:val="center"/>
          </w:tcPr>
          <w:p>
            <w:pPr>
              <w:pStyle w:val="154"/>
              <w:jc w:val="center"/>
              <w:rPr>
                <w:rFonts w:ascii="Times New Roman"/>
                <w:color w:val="auto"/>
                <w:sz w:val="21"/>
              </w:rPr>
            </w:pPr>
            <w:r>
              <w:rPr>
                <w:rFonts w:ascii="Times New Roman"/>
                <w:color w:val="auto"/>
                <w:sz w:val="21"/>
              </w:rPr>
              <w:t>3</w:t>
            </w:r>
          </w:p>
        </w:tc>
        <w:tc>
          <w:tcPr>
            <w:tcW w:w="1803" w:type="dxa"/>
            <w:vAlign w:val="center"/>
          </w:tcPr>
          <w:p>
            <w:pPr>
              <w:pStyle w:val="154"/>
              <w:spacing w:before="32"/>
              <w:rPr>
                <w:color w:val="auto"/>
                <w:sz w:val="21"/>
              </w:rPr>
            </w:pPr>
            <w:r>
              <w:rPr>
                <w:color w:val="auto"/>
                <w:sz w:val="21"/>
              </w:rPr>
              <w:t>标段（包别）划分</w:t>
            </w:r>
          </w:p>
        </w:tc>
        <w:tc>
          <w:tcPr>
            <w:tcW w:w="5535" w:type="dxa"/>
            <w:vAlign w:val="center"/>
          </w:tcPr>
          <w:p>
            <w:pPr>
              <w:pStyle w:val="154"/>
              <w:spacing w:before="109"/>
              <w:rPr>
                <w:color w:val="auto"/>
                <w:sz w:val="21"/>
              </w:rPr>
            </w:pPr>
            <w:r>
              <w:rPr>
                <w:color w:val="auto"/>
                <w:sz w:val="21"/>
              </w:rPr>
              <w:t xml:space="preserve">本项目共分为 </w:t>
            </w:r>
            <w:r>
              <w:rPr>
                <w:rFonts w:ascii="Times New Roman" w:eastAsia="Times New Roman"/>
                <w:color w:val="auto"/>
                <w:sz w:val="21"/>
              </w:rPr>
              <w:t xml:space="preserve">1 </w:t>
            </w:r>
            <w:r>
              <w:rPr>
                <w:color w:val="auto"/>
                <w:sz w:val="21"/>
              </w:rPr>
              <w:t>个标包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27" w:type="dxa"/>
            <w:vAlign w:val="center"/>
          </w:tcPr>
          <w:p>
            <w:pPr>
              <w:pStyle w:val="154"/>
              <w:jc w:val="center"/>
              <w:rPr>
                <w:rFonts w:ascii="Times New Roman"/>
                <w:color w:val="auto"/>
                <w:sz w:val="21"/>
              </w:rPr>
            </w:pPr>
            <w:r>
              <w:rPr>
                <w:rFonts w:ascii="Times New Roman"/>
                <w:color w:val="auto"/>
                <w:sz w:val="21"/>
              </w:rPr>
              <w:t>4</w:t>
            </w:r>
          </w:p>
        </w:tc>
        <w:tc>
          <w:tcPr>
            <w:tcW w:w="1803" w:type="dxa"/>
            <w:vAlign w:val="center"/>
          </w:tcPr>
          <w:p>
            <w:pPr>
              <w:pStyle w:val="154"/>
              <w:spacing w:before="72"/>
              <w:rPr>
                <w:color w:val="auto"/>
                <w:sz w:val="21"/>
              </w:rPr>
            </w:pPr>
            <w:r>
              <w:rPr>
                <w:color w:val="auto"/>
                <w:sz w:val="21"/>
              </w:rPr>
              <w:t>采购预算</w:t>
            </w:r>
          </w:p>
        </w:tc>
        <w:tc>
          <w:tcPr>
            <w:tcW w:w="5535" w:type="dxa"/>
            <w:vAlign w:val="center"/>
          </w:tcPr>
          <w:p>
            <w:pPr>
              <w:pStyle w:val="154"/>
              <w:spacing w:before="195"/>
              <w:rPr>
                <w:color w:val="auto"/>
                <w:sz w:val="21"/>
              </w:rPr>
            </w:pPr>
            <w:r>
              <w:rPr>
                <w:color w:val="auto"/>
                <w:sz w:val="21"/>
              </w:rPr>
              <w:t>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27" w:type="dxa"/>
            <w:vAlign w:val="center"/>
          </w:tcPr>
          <w:p>
            <w:pPr>
              <w:pStyle w:val="154"/>
              <w:jc w:val="center"/>
              <w:rPr>
                <w:rFonts w:ascii="Times New Roman"/>
                <w:color w:val="auto"/>
                <w:sz w:val="21"/>
              </w:rPr>
            </w:pPr>
            <w:r>
              <w:rPr>
                <w:rFonts w:ascii="Times New Roman"/>
                <w:color w:val="auto"/>
                <w:sz w:val="21"/>
              </w:rPr>
              <w:t>5</w:t>
            </w:r>
          </w:p>
        </w:tc>
        <w:tc>
          <w:tcPr>
            <w:tcW w:w="1803" w:type="dxa"/>
            <w:vAlign w:val="center"/>
          </w:tcPr>
          <w:p>
            <w:pPr>
              <w:pStyle w:val="154"/>
              <w:spacing w:before="117"/>
              <w:rPr>
                <w:color w:val="auto"/>
                <w:sz w:val="21"/>
              </w:rPr>
            </w:pPr>
            <w:r>
              <w:rPr>
                <w:color w:val="auto"/>
                <w:sz w:val="21"/>
              </w:rPr>
              <w:t>资金落实情况</w:t>
            </w:r>
          </w:p>
        </w:tc>
        <w:tc>
          <w:tcPr>
            <w:tcW w:w="5535" w:type="dxa"/>
            <w:vAlign w:val="center"/>
          </w:tcPr>
          <w:p>
            <w:pPr>
              <w:pStyle w:val="154"/>
              <w:spacing w:before="117"/>
              <w:rPr>
                <w:color w:val="auto"/>
                <w:sz w:val="21"/>
              </w:rPr>
            </w:pPr>
            <w:r>
              <w:rPr>
                <w:color w:val="auto"/>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27" w:type="dxa"/>
            <w:vAlign w:val="center"/>
          </w:tcPr>
          <w:p>
            <w:pPr>
              <w:pStyle w:val="154"/>
              <w:jc w:val="center"/>
              <w:rPr>
                <w:rFonts w:ascii="Times New Roman"/>
                <w:color w:val="auto"/>
                <w:sz w:val="21"/>
              </w:rPr>
            </w:pPr>
            <w:r>
              <w:rPr>
                <w:rFonts w:ascii="Times New Roman"/>
                <w:color w:val="auto"/>
                <w:sz w:val="21"/>
              </w:rPr>
              <w:t>6</w:t>
            </w:r>
          </w:p>
        </w:tc>
        <w:tc>
          <w:tcPr>
            <w:tcW w:w="1803" w:type="dxa"/>
            <w:vAlign w:val="center"/>
          </w:tcPr>
          <w:p>
            <w:pPr>
              <w:pStyle w:val="154"/>
              <w:spacing w:before="117"/>
              <w:rPr>
                <w:color w:val="auto"/>
                <w:sz w:val="21"/>
              </w:rPr>
            </w:pPr>
            <w:r>
              <w:rPr>
                <w:color w:val="auto"/>
                <w:sz w:val="21"/>
              </w:rPr>
              <w:t>采购需求</w:t>
            </w:r>
          </w:p>
        </w:tc>
        <w:tc>
          <w:tcPr>
            <w:tcW w:w="5535" w:type="dxa"/>
            <w:vAlign w:val="center"/>
          </w:tcPr>
          <w:p>
            <w:pPr>
              <w:pStyle w:val="154"/>
              <w:spacing w:before="117"/>
              <w:rPr>
                <w:color w:val="auto"/>
                <w:sz w:val="21"/>
              </w:rPr>
            </w:pPr>
            <w:r>
              <w:rPr>
                <w:color w:val="auto"/>
                <w:sz w:val="21"/>
              </w:rPr>
              <w:t>具体采购需求详见第三章采购需求。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27" w:type="dxa"/>
            <w:vAlign w:val="center"/>
          </w:tcPr>
          <w:p>
            <w:pPr>
              <w:pStyle w:val="154"/>
              <w:jc w:val="center"/>
              <w:rPr>
                <w:rFonts w:ascii="Times New Roman"/>
                <w:color w:val="auto"/>
                <w:sz w:val="21"/>
              </w:rPr>
            </w:pPr>
            <w:r>
              <w:rPr>
                <w:rFonts w:ascii="Times New Roman"/>
                <w:color w:val="auto"/>
                <w:sz w:val="21"/>
              </w:rPr>
              <w:t>7</w:t>
            </w:r>
          </w:p>
        </w:tc>
        <w:tc>
          <w:tcPr>
            <w:tcW w:w="1803" w:type="dxa"/>
            <w:vAlign w:val="center"/>
          </w:tcPr>
          <w:p>
            <w:pPr>
              <w:pStyle w:val="154"/>
              <w:rPr>
                <w:color w:val="auto"/>
                <w:sz w:val="21"/>
              </w:rPr>
            </w:pPr>
            <w:r>
              <w:rPr>
                <w:color w:val="auto"/>
                <w:sz w:val="21"/>
              </w:rPr>
              <w:t>服务期限</w:t>
            </w:r>
          </w:p>
        </w:tc>
        <w:tc>
          <w:tcPr>
            <w:tcW w:w="5535" w:type="dxa"/>
            <w:vAlign w:val="center"/>
          </w:tcPr>
          <w:p>
            <w:pPr>
              <w:pStyle w:val="154"/>
              <w:spacing w:before="33"/>
              <w:rPr>
                <w:color w:val="auto"/>
                <w:sz w:val="21"/>
              </w:rPr>
            </w:pPr>
            <w:r>
              <w:rPr>
                <w:color w:val="auto"/>
                <w:sz w:val="21"/>
              </w:rPr>
              <w:t>见竞争性磋商公告</w:t>
            </w:r>
            <w:r>
              <w:rPr>
                <w:rFonts w:hint="eastAsia"/>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27" w:type="dxa"/>
            <w:vAlign w:val="center"/>
          </w:tcPr>
          <w:p>
            <w:pPr>
              <w:pStyle w:val="154"/>
              <w:jc w:val="center"/>
              <w:rPr>
                <w:rFonts w:ascii="Times New Roman"/>
                <w:color w:val="auto"/>
                <w:sz w:val="21"/>
              </w:rPr>
            </w:pPr>
            <w:r>
              <w:rPr>
                <w:rFonts w:hint="eastAsia" w:ascii="Times New Roman"/>
                <w:color w:val="auto"/>
                <w:sz w:val="21"/>
              </w:rPr>
              <w:t>8</w:t>
            </w:r>
          </w:p>
        </w:tc>
        <w:tc>
          <w:tcPr>
            <w:tcW w:w="1803" w:type="dxa"/>
            <w:vAlign w:val="center"/>
          </w:tcPr>
          <w:p>
            <w:pPr>
              <w:pStyle w:val="154"/>
              <w:rPr>
                <w:color w:val="auto"/>
                <w:sz w:val="21"/>
              </w:rPr>
            </w:pPr>
            <w:r>
              <w:rPr>
                <w:rFonts w:hint="eastAsia"/>
                <w:color w:val="auto"/>
                <w:sz w:val="21"/>
              </w:rPr>
              <w:t>性能要求</w:t>
            </w:r>
          </w:p>
        </w:tc>
        <w:tc>
          <w:tcPr>
            <w:tcW w:w="5535" w:type="dxa"/>
            <w:vAlign w:val="center"/>
          </w:tcPr>
          <w:p>
            <w:pPr>
              <w:pStyle w:val="154"/>
              <w:spacing w:before="33"/>
              <w:rPr>
                <w:color w:val="auto"/>
                <w:sz w:val="21"/>
              </w:rPr>
            </w:pPr>
            <w:r>
              <w:rPr>
                <w:color w:val="auto"/>
                <w:sz w:val="21"/>
              </w:rPr>
              <w:t>是否允许负偏离：</w:t>
            </w:r>
            <w:r>
              <w:rPr>
                <w:rFonts w:ascii="Segoe UI Emoji" w:hAnsi="Segoe UI Emoji" w:eastAsia="Segoe UI Emoji"/>
                <w:color w:val="auto"/>
                <w:sz w:val="21"/>
              </w:rPr>
              <w:t>☑</w:t>
            </w:r>
            <w:r>
              <w:rPr>
                <w:color w:val="auto"/>
                <w:sz w:val="21"/>
              </w:rPr>
              <w:t>不允许</w:t>
            </w:r>
            <w:r>
              <w:rPr>
                <w:color w:val="auto"/>
                <w:sz w:val="21"/>
              </w:rPr>
              <w:tab/>
            </w:r>
            <w:r>
              <w:rPr>
                <w:rFonts w:hint="eastAsia" w:ascii="Times New Roman" w:hAnsi="Times New Roman"/>
                <w:color w:val="auto"/>
                <w:sz w:val="21"/>
              </w:rPr>
              <w:t>□</w:t>
            </w:r>
            <w:r>
              <w:rPr>
                <w:color w:val="auto"/>
                <w:sz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27" w:type="dxa"/>
            <w:vAlign w:val="center"/>
          </w:tcPr>
          <w:p>
            <w:pPr>
              <w:pStyle w:val="154"/>
              <w:jc w:val="center"/>
              <w:rPr>
                <w:rFonts w:ascii="Times New Roman"/>
                <w:color w:val="auto"/>
                <w:sz w:val="21"/>
              </w:rPr>
            </w:pPr>
            <w:r>
              <w:rPr>
                <w:rFonts w:hint="eastAsia" w:ascii="Times New Roman"/>
                <w:color w:val="auto"/>
                <w:sz w:val="21"/>
              </w:rPr>
              <w:t>9</w:t>
            </w:r>
          </w:p>
        </w:tc>
        <w:tc>
          <w:tcPr>
            <w:tcW w:w="1803" w:type="dxa"/>
            <w:vAlign w:val="center"/>
          </w:tcPr>
          <w:p>
            <w:pPr>
              <w:pStyle w:val="154"/>
              <w:spacing w:before="33"/>
              <w:rPr>
                <w:color w:val="auto"/>
                <w:sz w:val="21"/>
              </w:rPr>
            </w:pPr>
            <w:r>
              <w:rPr>
                <w:color w:val="auto"/>
                <w:sz w:val="21"/>
              </w:rPr>
              <w:t>付款方式</w:t>
            </w:r>
          </w:p>
        </w:tc>
        <w:tc>
          <w:tcPr>
            <w:tcW w:w="5535" w:type="dxa"/>
            <w:vAlign w:val="center"/>
          </w:tcPr>
          <w:p>
            <w:pPr>
              <w:pStyle w:val="154"/>
              <w:spacing w:before="33"/>
              <w:rPr>
                <w:color w:val="auto"/>
                <w:sz w:val="21"/>
              </w:rPr>
            </w:pPr>
            <w:r>
              <w:rPr>
                <w:rFonts w:hint="eastAsia"/>
                <w:color w:val="auto"/>
                <w:sz w:val="21"/>
              </w:rPr>
              <w:t>付款方式：服务完成并经甲方审核通过后10个工作日内支付当年度全部费用。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27" w:type="dxa"/>
            <w:vAlign w:val="center"/>
          </w:tcPr>
          <w:p>
            <w:pPr>
              <w:pStyle w:val="154"/>
              <w:jc w:val="center"/>
              <w:rPr>
                <w:rFonts w:ascii="Times New Roman"/>
                <w:color w:val="auto"/>
                <w:sz w:val="21"/>
              </w:rPr>
            </w:pPr>
            <w:r>
              <w:rPr>
                <w:rFonts w:hint="eastAsia" w:ascii="Times New Roman"/>
                <w:color w:val="auto"/>
                <w:sz w:val="21"/>
              </w:rPr>
              <w:t>10</w:t>
            </w:r>
          </w:p>
        </w:tc>
        <w:tc>
          <w:tcPr>
            <w:tcW w:w="1803" w:type="dxa"/>
            <w:vAlign w:val="center"/>
          </w:tcPr>
          <w:p>
            <w:pPr>
              <w:pStyle w:val="154"/>
              <w:spacing w:before="104"/>
              <w:rPr>
                <w:color w:val="auto"/>
                <w:sz w:val="21"/>
              </w:rPr>
            </w:pPr>
            <w:r>
              <w:rPr>
                <w:rFonts w:hint="eastAsia"/>
                <w:color w:val="auto"/>
                <w:sz w:val="21"/>
              </w:rPr>
              <w:t>性能响应</w:t>
            </w:r>
          </w:p>
        </w:tc>
        <w:tc>
          <w:tcPr>
            <w:tcW w:w="5535" w:type="dxa"/>
            <w:vAlign w:val="center"/>
          </w:tcPr>
          <w:p>
            <w:pPr>
              <w:pStyle w:val="154"/>
              <w:spacing w:before="104"/>
              <w:rPr>
                <w:color w:val="auto"/>
                <w:sz w:val="21"/>
              </w:rPr>
            </w:pPr>
            <w:r>
              <w:rPr>
                <w:color w:val="auto"/>
                <w:sz w:val="21"/>
              </w:rPr>
              <w:t>是否允许负偏离：</w:t>
            </w:r>
            <w:r>
              <w:rPr>
                <w:rFonts w:ascii="Segoe UI Emoji" w:hAnsi="Segoe UI Emoji" w:cs="Segoe UI Emoji"/>
                <w:color w:val="auto"/>
                <w:sz w:val="21"/>
              </w:rPr>
              <w:t>☑</w:t>
            </w:r>
            <w:r>
              <w:rPr>
                <w:color w:val="auto"/>
                <w:sz w:val="21"/>
              </w:rPr>
              <w:t xml:space="preserve">不允许 </w:t>
            </w:r>
            <w:r>
              <w:rPr>
                <w:rFonts w:hint="eastAsia" w:ascii="Times New Roman" w:hAnsi="Times New Roman"/>
                <w:color w:val="auto"/>
                <w:sz w:val="21"/>
              </w:rPr>
              <w:t>□</w:t>
            </w:r>
            <w:r>
              <w:rPr>
                <w:color w:val="auto"/>
                <w:sz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27" w:type="dxa"/>
            <w:vAlign w:val="center"/>
          </w:tcPr>
          <w:p>
            <w:pPr>
              <w:pStyle w:val="154"/>
              <w:jc w:val="center"/>
              <w:rPr>
                <w:rFonts w:ascii="Times New Roman"/>
                <w:color w:val="auto"/>
                <w:sz w:val="21"/>
              </w:rPr>
            </w:pPr>
            <w:r>
              <w:rPr>
                <w:rFonts w:hint="eastAsia" w:ascii="Times New Roman"/>
                <w:color w:val="auto"/>
                <w:sz w:val="21"/>
              </w:rPr>
              <w:t>11</w:t>
            </w:r>
          </w:p>
        </w:tc>
        <w:tc>
          <w:tcPr>
            <w:tcW w:w="1803" w:type="dxa"/>
            <w:vAlign w:val="center"/>
          </w:tcPr>
          <w:p>
            <w:pPr>
              <w:pStyle w:val="154"/>
              <w:spacing w:before="33"/>
              <w:rPr>
                <w:color w:val="auto"/>
                <w:sz w:val="21"/>
              </w:rPr>
            </w:pPr>
            <w:r>
              <w:rPr>
                <w:color w:val="auto"/>
                <w:sz w:val="21"/>
              </w:rPr>
              <w:t>供应商资格条件能力和信誉</w:t>
            </w:r>
          </w:p>
        </w:tc>
        <w:tc>
          <w:tcPr>
            <w:tcW w:w="5535" w:type="dxa"/>
            <w:vAlign w:val="center"/>
          </w:tcPr>
          <w:p>
            <w:pPr>
              <w:pStyle w:val="154"/>
              <w:spacing w:before="8"/>
              <w:rPr>
                <w:color w:val="auto"/>
                <w:sz w:val="21"/>
              </w:rPr>
            </w:pPr>
            <w:r>
              <w:rPr>
                <w:color w:val="auto"/>
                <w:sz w:val="21"/>
              </w:rPr>
              <w:t>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27" w:type="dxa"/>
            <w:vAlign w:val="center"/>
          </w:tcPr>
          <w:p>
            <w:pPr>
              <w:pStyle w:val="154"/>
              <w:spacing w:before="189"/>
              <w:jc w:val="center"/>
              <w:rPr>
                <w:rFonts w:ascii="Times New Roman"/>
                <w:color w:val="auto"/>
                <w:sz w:val="21"/>
              </w:rPr>
            </w:pPr>
            <w:r>
              <w:rPr>
                <w:rFonts w:ascii="Times New Roman"/>
                <w:color w:val="auto"/>
                <w:sz w:val="21"/>
              </w:rPr>
              <w:t>1</w:t>
            </w:r>
            <w:r>
              <w:rPr>
                <w:rFonts w:hint="eastAsia" w:ascii="Times New Roman"/>
                <w:color w:val="auto"/>
                <w:sz w:val="21"/>
              </w:rPr>
              <w:t>2</w:t>
            </w:r>
          </w:p>
        </w:tc>
        <w:tc>
          <w:tcPr>
            <w:tcW w:w="1803" w:type="dxa"/>
            <w:vAlign w:val="center"/>
          </w:tcPr>
          <w:p>
            <w:pPr>
              <w:pStyle w:val="154"/>
              <w:spacing w:before="45"/>
              <w:rPr>
                <w:color w:val="auto"/>
                <w:sz w:val="21"/>
              </w:rPr>
            </w:pPr>
            <w:r>
              <w:rPr>
                <w:color w:val="auto"/>
                <w:sz w:val="21"/>
              </w:rPr>
              <w:t>是否接受联合体响应</w:t>
            </w:r>
          </w:p>
        </w:tc>
        <w:tc>
          <w:tcPr>
            <w:tcW w:w="5535" w:type="dxa"/>
            <w:vAlign w:val="center"/>
          </w:tcPr>
          <w:p>
            <w:pPr>
              <w:pStyle w:val="154"/>
              <w:spacing w:before="16"/>
              <w:rPr>
                <w:color w:val="auto"/>
                <w:sz w:val="21"/>
              </w:rPr>
            </w:pPr>
            <w:r>
              <w:rPr>
                <w:rFonts w:ascii="Segoe UI Emoji" w:hAnsi="Segoe UI Emoji" w:eastAsia="Segoe UI Emoji"/>
                <w:color w:val="auto"/>
                <w:sz w:val="21"/>
              </w:rPr>
              <w:t>☑</w:t>
            </w:r>
            <w:r>
              <w:rPr>
                <w:color w:val="auto"/>
                <w:sz w:val="21"/>
              </w:rPr>
              <w:t>不接受</w:t>
            </w:r>
            <w:r>
              <w:rPr>
                <w:rFonts w:hint="eastAsia"/>
                <w:color w:val="auto"/>
                <w:sz w:val="21"/>
              </w:rPr>
              <w:t xml:space="preserve">  </w:t>
            </w:r>
            <w:r>
              <w:rPr>
                <w:rFonts w:hint="eastAsia" w:ascii="Times New Roman" w:hAnsi="Times New Roman"/>
                <w:color w:val="auto"/>
                <w:sz w:val="21"/>
              </w:rPr>
              <w:t>□</w:t>
            </w:r>
            <w:r>
              <w:rPr>
                <w:color w:val="auto"/>
                <w:sz w:val="21"/>
              </w:rPr>
              <w:t>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27" w:type="dxa"/>
            <w:vAlign w:val="center"/>
          </w:tcPr>
          <w:p>
            <w:pPr>
              <w:pStyle w:val="154"/>
              <w:jc w:val="center"/>
              <w:rPr>
                <w:rFonts w:ascii="Times New Roman"/>
                <w:color w:val="auto"/>
                <w:sz w:val="21"/>
              </w:rPr>
            </w:pPr>
            <w:r>
              <w:rPr>
                <w:rFonts w:hint="eastAsia" w:ascii="Times New Roman"/>
                <w:color w:val="auto"/>
                <w:sz w:val="21"/>
              </w:rPr>
              <w:t>13</w:t>
            </w:r>
          </w:p>
        </w:tc>
        <w:tc>
          <w:tcPr>
            <w:tcW w:w="1803" w:type="dxa"/>
            <w:vAlign w:val="center"/>
          </w:tcPr>
          <w:p>
            <w:pPr>
              <w:pStyle w:val="154"/>
              <w:spacing w:before="71"/>
              <w:rPr>
                <w:color w:val="auto"/>
                <w:sz w:val="21"/>
              </w:rPr>
            </w:pPr>
            <w:r>
              <w:rPr>
                <w:color w:val="auto"/>
                <w:sz w:val="21"/>
              </w:rPr>
              <w:t>竞争性磋商文件澄清发出的形式</w:t>
            </w:r>
          </w:p>
        </w:tc>
        <w:tc>
          <w:tcPr>
            <w:tcW w:w="5535" w:type="dxa"/>
            <w:vAlign w:val="center"/>
          </w:tcPr>
          <w:p>
            <w:pPr>
              <w:pStyle w:val="154"/>
              <w:spacing w:before="33" w:line="309" w:lineRule="auto"/>
              <w:rPr>
                <w:color w:val="auto"/>
                <w:sz w:val="21"/>
              </w:rPr>
            </w:pPr>
            <w:r>
              <w:rPr>
                <w:color w:val="auto"/>
                <w:spacing w:val="-1"/>
                <w:sz w:val="21"/>
              </w:rPr>
              <w:t>发出时间：如澄清或修改的内容可能影响响应文件编制的，应当在提交响应文</w:t>
            </w:r>
            <w:r>
              <w:rPr>
                <w:color w:val="auto"/>
                <w:spacing w:val="-7"/>
                <w:sz w:val="21"/>
              </w:rPr>
              <w:t>件截止之日至少</w:t>
            </w:r>
            <w:r>
              <w:rPr>
                <w:rFonts w:ascii="Times New Roman" w:eastAsia="Times New Roman"/>
                <w:color w:val="auto"/>
                <w:sz w:val="21"/>
              </w:rPr>
              <w:t>5</w:t>
            </w:r>
            <w:r>
              <w:rPr>
                <w:color w:val="auto"/>
                <w:sz w:val="21"/>
              </w:rPr>
              <w:t>日前发布澄清或修改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27" w:type="dxa"/>
            <w:vAlign w:val="center"/>
          </w:tcPr>
          <w:p>
            <w:pPr>
              <w:pStyle w:val="154"/>
              <w:jc w:val="center"/>
              <w:rPr>
                <w:rFonts w:ascii="Times New Roman"/>
                <w:color w:val="auto"/>
                <w:sz w:val="21"/>
              </w:rPr>
            </w:pPr>
            <w:r>
              <w:rPr>
                <w:rFonts w:ascii="Times New Roman"/>
                <w:color w:val="auto"/>
                <w:sz w:val="21"/>
              </w:rPr>
              <w:t>1</w:t>
            </w:r>
            <w:r>
              <w:rPr>
                <w:rFonts w:hint="eastAsia" w:ascii="Times New Roman"/>
                <w:color w:val="auto"/>
                <w:sz w:val="21"/>
              </w:rPr>
              <w:t>4</w:t>
            </w:r>
          </w:p>
        </w:tc>
        <w:tc>
          <w:tcPr>
            <w:tcW w:w="1803" w:type="dxa"/>
            <w:vAlign w:val="center"/>
          </w:tcPr>
          <w:p>
            <w:pPr>
              <w:pStyle w:val="154"/>
              <w:spacing w:before="71"/>
              <w:rPr>
                <w:color w:val="auto"/>
                <w:sz w:val="21"/>
              </w:rPr>
            </w:pPr>
            <w:r>
              <w:rPr>
                <w:color w:val="auto"/>
                <w:sz w:val="21"/>
              </w:rPr>
              <w:t>分包</w:t>
            </w:r>
          </w:p>
        </w:tc>
        <w:tc>
          <w:tcPr>
            <w:tcW w:w="5535" w:type="dxa"/>
            <w:vAlign w:val="center"/>
          </w:tcPr>
          <w:p>
            <w:pPr>
              <w:pStyle w:val="154"/>
              <w:spacing w:before="16"/>
              <w:rPr>
                <w:rFonts w:ascii="Times New Roman"/>
                <w:color w:val="auto"/>
                <w:sz w:val="21"/>
              </w:rPr>
            </w:pPr>
            <w:r>
              <w:rPr>
                <w:rFonts w:ascii="Segoe UI Emoji" w:hAnsi="Segoe UI Emoji" w:eastAsia="Segoe UI Emoji"/>
                <w:color w:val="auto"/>
                <w:sz w:val="21"/>
              </w:rPr>
              <w:t>☑</w:t>
            </w:r>
            <w:r>
              <w:rPr>
                <w:color w:val="auto"/>
                <w:sz w:val="21"/>
              </w:rPr>
              <w:t>不允许</w:t>
            </w:r>
            <w:r>
              <w:rPr>
                <w:rFonts w:hint="eastAsia"/>
                <w:color w:val="auto"/>
                <w:sz w:val="21"/>
              </w:rPr>
              <w:t xml:space="preserve">  </w:t>
            </w:r>
            <w:r>
              <w:rPr>
                <w:rFonts w:hint="eastAsia" w:ascii="Times New Roman" w:hAnsi="Times New Roman"/>
                <w:color w:val="auto"/>
                <w:sz w:val="21"/>
              </w:rPr>
              <w:t>□</w:t>
            </w:r>
            <w:r>
              <w:rPr>
                <w:color w:val="auto"/>
                <w:sz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27" w:type="dxa"/>
            <w:vAlign w:val="center"/>
          </w:tcPr>
          <w:p>
            <w:pPr>
              <w:pStyle w:val="154"/>
              <w:jc w:val="center"/>
              <w:rPr>
                <w:rFonts w:ascii="Times New Roman"/>
                <w:color w:val="auto"/>
                <w:sz w:val="21"/>
              </w:rPr>
            </w:pPr>
            <w:r>
              <w:rPr>
                <w:rFonts w:ascii="Times New Roman"/>
                <w:color w:val="auto"/>
                <w:sz w:val="21"/>
              </w:rPr>
              <w:t>1</w:t>
            </w:r>
            <w:r>
              <w:rPr>
                <w:rFonts w:hint="eastAsia" w:ascii="Times New Roman"/>
                <w:color w:val="auto"/>
                <w:sz w:val="21"/>
              </w:rPr>
              <w:t>5</w:t>
            </w:r>
          </w:p>
        </w:tc>
        <w:tc>
          <w:tcPr>
            <w:tcW w:w="1803" w:type="dxa"/>
            <w:vAlign w:val="center"/>
          </w:tcPr>
          <w:p>
            <w:pPr>
              <w:pStyle w:val="154"/>
              <w:spacing w:before="40"/>
              <w:rPr>
                <w:color w:val="auto"/>
                <w:sz w:val="21"/>
              </w:rPr>
            </w:pPr>
            <w:r>
              <w:rPr>
                <w:color w:val="auto"/>
                <w:sz w:val="21"/>
              </w:rPr>
              <w:t>供应商要求澄清竞争性磋商文件</w:t>
            </w:r>
          </w:p>
        </w:tc>
        <w:tc>
          <w:tcPr>
            <w:tcW w:w="5535" w:type="dxa"/>
            <w:vAlign w:val="center"/>
          </w:tcPr>
          <w:p>
            <w:pPr>
              <w:pStyle w:val="154"/>
              <w:spacing w:before="33"/>
              <w:rPr>
                <w:color w:val="auto"/>
                <w:sz w:val="21"/>
              </w:rPr>
            </w:pPr>
            <w:r>
              <w:rPr>
                <w:color w:val="auto"/>
                <w:sz w:val="21"/>
              </w:rPr>
              <w:t>时间：在提交响应文件截止之日至少</w:t>
            </w:r>
            <w:r>
              <w:rPr>
                <w:rFonts w:ascii="Times New Roman" w:eastAsia="Times New Roman"/>
                <w:color w:val="auto"/>
                <w:sz w:val="21"/>
              </w:rPr>
              <w:t>5</w:t>
            </w:r>
            <w:r>
              <w:rPr>
                <w:rFonts w:hint="eastAsia" w:ascii="Times New Roman"/>
                <w:color w:val="auto"/>
                <w:sz w:val="21"/>
                <w:lang w:val="en-US" w:eastAsia="zh-CN"/>
              </w:rPr>
              <w:t>日</w:t>
            </w:r>
            <w:r>
              <w:rPr>
                <w:color w:val="auto"/>
                <w:sz w:val="21"/>
              </w:rPr>
              <w:t>前（以收到时间为准），逾期提出采购人可不予受理。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27" w:type="dxa"/>
            <w:vAlign w:val="center"/>
          </w:tcPr>
          <w:p>
            <w:pPr>
              <w:pStyle w:val="154"/>
              <w:jc w:val="center"/>
              <w:rPr>
                <w:rFonts w:ascii="Times New Roman"/>
                <w:color w:val="auto"/>
                <w:sz w:val="21"/>
              </w:rPr>
            </w:pPr>
            <w:r>
              <w:rPr>
                <w:rFonts w:ascii="Times New Roman"/>
                <w:color w:val="auto"/>
                <w:sz w:val="21"/>
              </w:rPr>
              <w:t>1</w:t>
            </w:r>
            <w:r>
              <w:rPr>
                <w:rFonts w:hint="eastAsia" w:ascii="Times New Roman"/>
                <w:color w:val="auto"/>
                <w:sz w:val="21"/>
              </w:rPr>
              <w:t>6</w:t>
            </w:r>
          </w:p>
        </w:tc>
        <w:tc>
          <w:tcPr>
            <w:tcW w:w="1803" w:type="dxa"/>
            <w:vAlign w:val="center"/>
          </w:tcPr>
          <w:p>
            <w:pPr>
              <w:pStyle w:val="154"/>
              <w:spacing w:before="32"/>
              <w:rPr>
                <w:color w:val="auto"/>
                <w:sz w:val="21"/>
              </w:rPr>
            </w:pPr>
            <w:r>
              <w:rPr>
                <w:color w:val="auto"/>
                <w:sz w:val="21"/>
              </w:rPr>
              <w:t>响应报价包括的内容</w:t>
            </w:r>
          </w:p>
        </w:tc>
        <w:tc>
          <w:tcPr>
            <w:tcW w:w="5535" w:type="dxa"/>
            <w:vAlign w:val="center"/>
          </w:tcPr>
          <w:p>
            <w:pPr>
              <w:pStyle w:val="154"/>
              <w:spacing w:before="32"/>
              <w:rPr>
                <w:color w:val="auto"/>
                <w:sz w:val="21"/>
              </w:rPr>
            </w:pPr>
            <w:r>
              <w:rPr>
                <w:color w:val="auto"/>
                <w:sz w:val="21"/>
              </w:rPr>
              <w:t>响应报价包括提供服务的一切成本和费用、管理费、利润和税金，以及采购合同中明示或暗示的所有责任、义务和风险。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27" w:type="dxa"/>
            <w:vAlign w:val="center"/>
          </w:tcPr>
          <w:p>
            <w:pPr>
              <w:pStyle w:val="154"/>
              <w:jc w:val="center"/>
              <w:rPr>
                <w:rFonts w:ascii="Times New Roman"/>
                <w:color w:val="auto"/>
                <w:sz w:val="21"/>
              </w:rPr>
            </w:pPr>
            <w:r>
              <w:rPr>
                <w:rFonts w:ascii="Times New Roman"/>
                <w:color w:val="auto"/>
                <w:sz w:val="21"/>
              </w:rPr>
              <w:t>1</w:t>
            </w:r>
            <w:r>
              <w:rPr>
                <w:rFonts w:hint="eastAsia" w:ascii="Times New Roman"/>
                <w:color w:val="auto"/>
                <w:sz w:val="21"/>
              </w:rPr>
              <w:t>7</w:t>
            </w:r>
          </w:p>
        </w:tc>
        <w:tc>
          <w:tcPr>
            <w:tcW w:w="1803" w:type="dxa"/>
            <w:vAlign w:val="center"/>
          </w:tcPr>
          <w:p>
            <w:pPr>
              <w:pStyle w:val="154"/>
              <w:spacing w:before="32"/>
              <w:rPr>
                <w:color w:val="auto"/>
                <w:sz w:val="21"/>
              </w:rPr>
            </w:pPr>
            <w:r>
              <w:rPr>
                <w:color w:val="auto"/>
                <w:sz w:val="21"/>
              </w:rPr>
              <w:t>最高限价</w:t>
            </w:r>
          </w:p>
        </w:tc>
        <w:tc>
          <w:tcPr>
            <w:tcW w:w="5535" w:type="dxa"/>
            <w:vAlign w:val="center"/>
          </w:tcPr>
          <w:p>
            <w:pPr>
              <w:pStyle w:val="154"/>
              <w:spacing w:before="32"/>
              <w:rPr>
                <w:color w:val="auto"/>
                <w:sz w:val="21"/>
              </w:rPr>
            </w:pPr>
            <w:r>
              <w:rPr>
                <w:color w:val="auto"/>
                <w:sz w:val="21"/>
              </w:rPr>
              <w:t>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27" w:type="dxa"/>
            <w:vAlign w:val="center"/>
          </w:tcPr>
          <w:p>
            <w:pPr>
              <w:pStyle w:val="154"/>
              <w:spacing w:before="189"/>
              <w:jc w:val="center"/>
              <w:rPr>
                <w:rFonts w:ascii="Times New Roman"/>
                <w:color w:val="auto"/>
                <w:sz w:val="21"/>
              </w:rPr>
            </w:pPr>
            <w:r>
              <w:rPr>
                <w:rFonts w:ascii="Times New Roman"/>
                <w:color w:val="auto"/>
                <w:sz w:val="21"/>
              </w:rPr>
              <w:t>1</w:t>
            </w:r>
            <w:r>
              <w:rPr>
                <w:rFonts w:hint="eastAsia" w:ascii="Times New Roman"/>
                <w:color w:val="auto"/>
                <w:sz w:val="21"/>
              </w:rPr>
              <w:t>8</w:t>
            </w:r>
          </w:p>
        </w:tc>
        <w:tc>
          <w:tcPr>
            <w:tcW w:w="1803" w:type="dxa"/>
            <w:vAlign w:val="center"/>
          </w:tcPr>
          <w:p>
            <w:pPr>
              <w:pStyle w:val="154"/>
              <w:spacing w:before="32"/>
              <w:rPr>
                <w:color w:val="auto"/>
                <w:sz w:val="21"/>
              </w:rPr>
            </w:pPr>
            <w:r>
              <w:rPr>
                <w:color w:val="auto"/>
                <w:sz w:val="21"/>
              </w:rPr>
              <w:t>提交响应文件截止时间</w:t>
            </w:r>
          </w:p>
        </w:tc>
        <w:tc>
          <w:tcPr>
            <w:tcW w:w="5535" w:type="dxa"/>
            <w:vAlign w:val="center"/>
          </w:tcPr>
          <w:p>
            <w:pPr>
              <w:pStyle w:val="154"/>
              <w:spacing w:before="7"/>
              <w:rPr>
                <w:rFonts w:ascii="Times New Roman"/>
                <w:color w:val="auto"/>
                <w:sz w:val="17"/>
              </w:rPr>
            </w:pPr>
          </w:p>
          <w:p>
            <w:pPr>
              <w:pStyle w:val="154"/>
              <w:rPr>
                <w:rFonts w:ascii="Times New Roman" w:eastAsia="Times New Roman"/>
                <w:color w:val="auto"/>
                <w:sz w:val="21"/>
                <w:u w:val="single"/>
              </w:rPr>
            </w:pPr>
            <w:r>
              <w:rPr>
                <w:color w:val="auto"/>
                <w:sz w:val="21"/>
              </w:rPr>
              <w:t>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27" w:type="dxa"/>
            <w:vAlign w:val="center"/>
          </w:tcPr>
          <w:p>
            <w:pPr>
              <w:pStyle w:val="154"/>
              <w:spacing w:before="189"/>
              <w:jc w:val="center"/>
              <w:rPr>
                <w:rFonts w:ascii="Times New Roman"/>
                <w:color w:val="auto"/>
                <w:sz w:val="21"/>
              </w:rPr>
            </w:pPr>
            <w:r>
              <w:rPr>
                <w:rFonts w:hint="eastAsia" w:ascii="Times New Roman"/>
                <w:color w:val="auto"/>
                <w:sz w:val="21"/>
              </w:rPr>
              <w:t>19</w:t>
            </w:r>
          </w:p>
        </w:tc>
        <w:tc>
          <w:tcPr>
            <w:tcW w:w="1803" w:type="dxa"/>
            <w:vAlign w:val="center"/>
          </w:tcPr>
          <w:p>
            <w:pPr>
              <w:pStyle w:val="154"/>
              <w:spacing w:before="33"/>
              <w:rPr>
                <w:color w:val="auto"/>
                <w:sz w:val="21"/>
              </w:rPr>
            </w:pPr>
            <w:r>
              <w:rPr>
                <w:color w:val="auto"/>
                <w:sz w:val="21"/>
              </w:rPr>
              <w:t>是否退还响应文件</w:t>
            </w:r>
          </w:p>
        </w:tc>
        <w:tc>
          <w:tcPr>
            <w:tcW w:w="5535" w:type="dxa"/>
            <w:vAlign w:val="center"/>
          </w:tcPr>
          <w:p>
            <w:pPr>
              <w:pStyle w:val="154"/>
              <w:spacing w:before="174"/>
              <w:rPr>
                <w:rFonts w:ascii="Times New Roman" w:eastAsia="Times New Roman"/>
                <w:color w:val="auto"/>
                <w:sz w:val="21"/>
                <w:u w:val="single"/>
              </w:rPr>
            </w:pPr>
            <w:r>
              <w:rPr>
                <w:rFonts w:ascii="Segoe UI Emoji" w:hAnsi="Segoe UI Emoji" w:eastAsia="Segoe UI Emoji"/>
                <w:color w:val="auto"/>
                <w:sz w:val="21"/>
              </w:rPr>
              <w:t>☑</w:t>
            </w:r>
            <w:r>
              <w:rPr>
                <w:color w:val="auto"/>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6" w:hRule="atLeast"/>
        </w:trPr>
        <w:tc>
          <w:tcPr>
            <w:tcW w:w="1227" w:type="dxa"/>
            <w:vAlign w:val="center"/>
          </w:tcPr>
          <w:p>
            <w:pPr>
              <w:pStyle w:val="154"/>
              <w:spacing w:before="189"/>
              <w:jc w:val="center"/>
              <w:rPr>
                <w:rFonts w:ascii="Times New Roman"/>
                <w:color w:val="auto"/>
                <w:sz w:val="21"/>
              </w:rPr>
            </w:pPr>
            <w:r>
              <w:rPr>
                <w:rFonts w:hint="eastAsia" w:ascii="Times New Roman"/>
                <w:color w:val="auto"/>
                <w:sz w:val="21"/>
              </w:rPr>
              <w:t>20</w:t>
            </w:r>
          </w:p>
        </w:tc>
        <w:tc>
          <w:tcPr>
            <w:tcW w:w="1803" w:type="dxa"/>
            <w:vAlign w:val="center"/>
          </w:tcPr>
          <w:p>
            <w:pPr>
              <w:pStyle w:val="154"/>
              <w:spacing w:before="33"/>
              <w:rPr>
                <w:color w:val="auto"/>
                <w:sz w:val="21"/>
              </w:rPr>
            </w:pPr>
            <w:r>
              <w:rPr>
                <w:color w:val="auto"/>
                <w:sz w:val="21"/>
              </w:rPr>
              <w:t>响应文件开启时间和地点</w:t>
            </w:r>
          </w:p>
        </w:tc>
        <w:tc>
          <w:tcPr>
            <w:tcW w:w="5535" w:type="dxa"/>
            <w:vAlign w:val="center"/>
          </w:tcPr>
          <w:p>
            <w:pPr>
              <w:pStyle w:val="154"/>
              <w:spacing w:before="33"/>
              <w:rPr>
                <w:color w:val="auto"/>
                <w:sz w:val="21"/>
              </w:rPr>
            </w:pPr>
            <w:r>
              <w:rPr>
                <w:color w:val="auto"/>
                <w:sz w:val="21"/>
              </w:rPr>
              <w:t>开启时间：同提交响应文件截止时间</w:t>
            </w:r>
          </w:p>
          <w:p>
            <w:pPr>
              <w:pStyle w:val="154"/>
              <w:spacing w:before="71"/>
              <w:rPr>
                <w:rFonts w:ascii="Times New Roman" w:eastAsia="Times New Roman"/>
                <w:color w:val="auto"/>
                <w:sz w:val="21"/>
                <w:u w:val="single"/>
              </w:rPr>
            </w:pPr>
            <w:r>
              <w:rPr>
                <w:color w:val="auto"/>
                <w:sz w:val="21"/>
              </w:rPr>
              <w:t>开启地点：同响应文件提交地点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27" w:type="dxa"/>
            <w:vAlign w:val="center"/>
          </w:tcPr>
          <w:p>
            <w:pPr>
              <w:pStyle w:val="154"/>
              <w:jc w:val="center"/>
              <w:rPr>
                <w:rFonts w:ascii="Times New Roman"/>
                <w:color w:val="auto"/>
                <w:sz w:val="21"/>
              </w:rPr>
            </w:pPr>
            <w:r>
              <w:rPr>
                <w:rFonts w:hint="eastAsia" w:ascii="Times New Roman"/>
                <w:color w:val="auto"/>
                <w:sz w:val="21"/>
              </w:rPr>
              <w:t>21</w:t>
            </w:r>
          </w:p>
        </w:tc>
        <w:tc>
          <w:tcPr>
            <w:tcW w:w="1803" w:type="dxa"/>
            <w:vAlign w:val="center"/>
          </w:tcPr>
          <w:p>
            <w:pPr>
              <w:pStyle w:val="154"/>
              <w:spacing w:before="158" w:line="304" w:lineRule="auto"/>
              <w:rPr>
                <w:color w:val="auto"/>
                <w:sz w:val="21"/>
              </w:rPr>
            </w:pPr>
            <w:r>
              <w:rPr>
                <w:color w:val="auto"/>
                <w:sz w:val="21"/>
              </w:rPr>
              <w:t>响应文件开启程序</w:t>
            </w:r>
          </w:p>
        </w:tc>
        <w:tc>
          <w:tcPr>
            <w:tcW w:w="5535" w:type="dxa"/>
            <w:vAlign w:val="center"/>
          </w:tcPr>
          <w:p>
            <w:pPr>
              <w:pStyle w:val="154"/>
              <w:spacing w:before="33" w:line="309" w:lineRule="auto"/>
              <w:rPr>
                <w:rFonts w:ascii="Times New Roman" w:eastAsia="Times New Roman"/>
                <w:color w:val="auto"/>
                <w:sz w:val="21"/>
                <w:u w:val="single"/>
              </w:rPr>
            </w:pPr>
            <w:r>
              <w:rPr>
                <w:color w:val="auto"/>
                <w:sz w:val="21"/>
              </w:rPr>
              <w:t>采购人根据有关规定</w:t>
            </w:r>
            <w:r>
              <w:rPr>
                <w:rFonts w:hint="eastAsia"/>
                <w:color w:val="auto"/>
                <w:sz w:val="21"/>
              </w:rPr>
              <w:t>在开标截止时间内组织评标专家到达开标地点。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27" w:type="dxa"/>
            <w:vAlign w:val="center"/>
          </w:tcPr>
          <w:p>
            <w:pPr>
              <w:pStyle w:val="154"/>
              <w:spacing w:before="197"/>
              <w:jc w:val="center"/>
              <w:rPr>
                <w:rFonts w:ascii="Times New Roman"/>
                <w:color w:val="auto"/>
                <w:sz w:val="21"/>
              </w:rPr>
            </w:pPr>
            <w:r>
              <w:rPr>
                <w:rFonts w:ascii="Times New Roman"/>
                <w:color w:val="auto"/>
                <w:sz w:val="21"/>
              </w:rPr>
              <w:t>2</w:t>
            </w:r>
            <w:r>
              <w:rPr>
                <w:rFonts w:hint="eastAsia" w:ascii="Times New Roman"/>
                <w:color w:val="auto"/>
                <w:sz w:val="21"/>
              </w:rPr>
              <w:t>2</w:t>
            </w:r>
          </w:p>
        </w:tc>
        <w:tc>
          <w:tcPr>
            <w:tcW w:w="1803" w:type="dxa"/>
            <w:vAlign w:val="center"/>
          </w:tcPr>
          <w:p>
            <w:pPr>
              <w:pStyle w:val="154"/>
              <w:spacing w:before="1"/>
              <w:rPr>
                <w:color w:val="auto"/>
                <w:sz w:val="21"/>
              </w:rPr>
            </w:pPr>
            <w:r>
              <w:rPr>
                <w:color w:val="auto"/>
                <w:sz w:val="21"/>
              </w:rPr>
              <w:t>磋商小组的组建</w:t>
            </w:r>
          </w:p>
        </w:tc>
        <w:tc>
          <w:tcPr>
            <w:tcW w:w="5535" w:type="dxa"/>
            <w:vAlign w:val="center"/>
          </w:tcPr>
          <w:p>
            <w:pPr>
              <w:pStyle w:val="154"/>
              <w:spacing w:before="32"/>
              <w:rPr>
                <w:rFonts w:ascii="Times New Roman"/>
                <w:color w:val="auto"/>
                <w:sz w:val="21"/>
                <w:u w:val="single"/>
              </w:rPr>
            </w:pPr>
            <w:r>
              <w:rPr>
                <w:color w:val="auto"/>
                <w:sz w:val="21"/>
              </w:rPr>
              <w:t>磋商小组的组成：由采购人代表</w:t>
            </w:r>
            <w:r>
              <w:rPr>
                <w:rFonts w:hint="eastAsia"/>
                <w:color w:val="auto"/>
                <w:sz w:val="21"/>
              </w:rPr>
              <w:t>选择</w:t>
            </w:r>
            <w:r>
              <w:rPr>
                <w:color w:val="auto"/>
                <w:sz w:val="21"/>
              </w:rPr>
              <w:t>专家组成</w:t>
            </w:r>
            <w:r>
              <w:rPr>
                <w:rFonts w:hint="eastAsia"/>
                <w:color w:val="auto"/>
                <w:sz w:val="21"/>
              </w:rPr>
              <w:t>。</w:t>
            </w:r>
            <w:r>
              <w:rPr>
                <w:color w:val="auto"/>
                <w:sz w:val="21"/>
              </w:rPr>
              <w:t>磋商小组的人数：</w:t>
            </w:r>
            <w:r>
              <w:rPr>
                <w:rFonts w:ascii="Times New Roman" w:eastAsia="Times New Roman"/>
                <w:color w:val="auto"/>
                <w:sz w:val="21"/>
              </w:rPr>
              <w:t xml:space="preserve">3 </w:t>
            </w:r>
            <w:r>
              <w:rPr>
                <w:color w:val="auto"/>
                <w:sz w:val="21"/>
              </w:rPr>
              <w:t xml:space="preserve">人或 </w:t>
            </w:r>
            <w:r>
              <w:rPr>
                <w:rFonts w:ascii="Times New Roman" w:eastAsia="Times New Roman"/>
                <w:color w:val="auto"/>
                <w:sz w:val="21"/>
              </w:rPr>
              <w:t xml:space="preserve">3 </w:t>
            </w:r>
            <w:r>
              <w:rPr>
                <w:color w:val="auto"/>
                <w:sz w:val="21"/>
              </w:rPr>
              <w:t>人以上单数组成</w:t>
            </w:r>
            <w:r>
              <w:rPr>
                <w:rFonts w:hint="eastAsia"/>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27" w:type="dxa"/>
            <w:vAlign w:val="center"/>
          </w:tcPr>
          <w:p>
            <w:pPr>
              <w:pStyle w:val="154"/>
              <w:spacing w:before="104"/>
              <w:jc w:val="center"/>
              <w:rPr>
                <w:rFonts w:ascii="Times New Roman"/>
                <w:color w:val="auto"/>
                <w:sz w:val="21"/>
              </w:rPr>
            </w:pPr>
            <w:r>
              <w:rPr>
                <w:rFonts w:ascii="Times New Roman"/>
                <w:color w:val="auto"/>
                <w:sz w:val="21"/>
              </w:rPr>
              <w:t>2</w:t>
            </w:r>
            <w:r>
              <w:rPr>
                <w:rFonts w:hint="eastAsia" w:ascii="Times New Roman"/>
                <w:color w:val="auto"/>
                <w:sz w:val="21"/>
              </w:rPr>
              <w:t>3</w:t>
            </w:r>
          </w:p>
        </w:tc>
        <w:tc>
          <w:tcPr>
            <w:tcW w:w="1803" w:type="dxa"/>
            <w:vAlign w:val="center"/>
          </w:tcPr>
          <w:p>
            <w:pPr>
              <w:pStyle w:val="154"/>
              <w:spacing w:before="117"/>
              <w:rPr>
                <w:color w:val="auto"/>
                <w:sz w:val="21"/>
              </w:rPr>
            </w:pPr>
            <w:r>
              <w:rPr>
                <w:color w:val="auto"/>
                <w:sz w:val="21"/>
              </w:rPr>
              <w:t>供应商家数</w:t>
            </w:r>
          </w:p>
        </w:tc>
        <w:tc>
          <w:tcPr>
            <w:tcW w:w="5535" w:type="dxa"/>
            <w:vAlign w:val="center"/>
          </w:tcPr>
          <w:p>
            <w:pPr>
              <w:pStyle w:val="154"/>
              <w:spacing w:before="109"/>
              <w:rPr>
                <w:rFonts w:ascii="Times New Roman" w:eastAsia="Times New Roman"/>
                <w:color w:val="auto"/>
                <w:sz w:val="21"/>
                <w:u w:val="single"/>
              </w:rPr>
            </w:pPr>
            <w:r>
              <w:rPr>
                <w:color w:val="auto"/>
                <w:sz w:val="21"/>
              </w:rPr>
              <w:t xml:space="preserve">参与竞争性磋商的供应商不得少于 </w:t>
            </w:r>
            <w:r>
              <w:rPr>
                <w:rFonts w:ascii="Times New Roman" w:eastAsia="Times New Roman"/>
                <w:color w:val="auto"/>
                <w:sz w:val="21"/>
              </w:rPr>
              <w:t xml:space="preserve">3 </w:t>
            </w:r>
            <w:r>
              <w:rPr>
                <w:color w:val="auto"/>
                <w:sz w:val="21"/>
              </w:rPr>
              <w:t>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27" w:type="dxa"/>
            <w:vAlign w:val="center"/>
          </w:tcPr>
          <w:p>
            <w:pPr>
              <w:pStyle w:val="154"/>
              <w:jc w:val="center"/>
              <w:rPr>
                <w:rFonts w:ascii="Times New Roman"/>
                <w:color w:val="auto"/>
                <w:sz w:val="21"/>
              </w:rPr>
            </w:pPr>
            <w:r>
              <w:rPr>
                <w:rFonts w:hint="eastAsia" w:ascii="Times New Roman"/>
                <w:color w:val="auto"/>
                <w:sz w:val="21"/>
              </w:rPr>
              <w:t>24</w:t>
            </w:r>
          </w:p>
        </w:tc>
        <w:tc>
          <w:tcPr>
            <w:tcW w:w="1803" w:type="dxa"/>
            <w:vAlign w:val="center"/>
          </w:tcPr>
          <w:p>
            <w:pPr>
              <w:pStyle w:val="154"/>
              <w:spacing w:before="1" w:line="304" w:lineRule="auto"/>
              <w:ind w:hanging="210"/>
              <w:rPr>
                <w:color w:val="auto"/>
                <w:sz w:val="21"/>
              </w:rPr>
            </w:pPr>
            <w:r>
              <w:rPr>
                <w:color w:val="auto"/>
                <w:sz w:val="21"/>
              </w:rPr>
              <w:t>确</w:t>
            </w:r>
            <w:r>
              <w:rPr>
                <w:rFonts w:hint="eastAsia"/>
                <w:color w:val="auto"/>
                <w:sz w:val="21"/>
                <w:lang w:val="en-US" w:eastAsia="zh-CN"/>
              </w:rPr>
              <w:t>确定</w:t>
            </w:r>
            <w:r>
              <w:rPr>
                <w:color w:val="auto"/>
                <w:sz w:val="21"/>
              </w:rPr>
              <w:t>提交最后报价的供应商</w:t>
            </w:r>
          </w:p>
        </w:tc>
        <w:tc>
          <w:tcPr>
            <w:tcW w:w="5535" w:type="dxa"/>
            <w:vAlign w:val="center"/>
          </w:tcPr>
          <w:p>
            <w:pPr>
              <w:pStyle w:val="154"/>
              <w:spacing w:before="33" w:line="304" w:lineRule="auto"/>
              <w:rPr>
                <w:rFonts w:ascii="Times New Roman" w:eastAsia="Times New Roman"/>
                <w:color w:val="auto"/>
                <w:sz w:val="21"/>
                <w:u w:val="single"/>
              </w:rPr>
            </w:pPr>
            <w:r>
              <w:rPr>
                <w:color w:val="auto"/>
                <w:sz w:val="21"/>
              </w:rPr>
              <w:t xml:space="preserve">竞争性磋商文件能够详细列明采购标的的技术、服务要求，磋商结束后，磋商小组将要求所有实质性响应的供应商在规定时间内提交最后报价，提交最后报价的供应商家数不得少于 </w:t>
            </w:r>
            <w:r>
              <w:rPr>
                <w:rFonts w:ascii="Times New Roman" w:eastAsia="Times New Roman"/>
                <w:color w:val="auto"/>
                <w:sz w:val="21"/>
              </w:rPr>
              <w:t xml:space="preserve">3 </w:t>
            </w:r>
            <w:r>
              <w:rPr>
                <w:color w:val="auto"/>
                <w:sz w:val="21"/>
              </w:rPr>
              <w:t>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27" w:type="dxa"/>
            <w:vAlign w:val="center"/>
          </w:tcPr>
          <w:p>
            <w:pPr>
              <w:pStyle w:val="154"/>
              <w:spacing w:before="11"/>
              <w:jc w:val="center"/>
              <w:rPr>
                <w:rFonts w:ascii="Times New Roman"/>
                <w:color w:val="auto"/>
                <w:sz w:val="21"/>
              </w:rPr>
            </w:pPr>
            <w:r>
              <w:rPr>
                <w:rFonts w:ascii="Times New Roman"/>
                <w:color w:val="auto"/>
                <w:sz w:val="21"/>
              </w:rPr>
              <w:t>2</w:t>
            </w:r>
            <w:r>
              <w:rPr>
                <w:rFonts w:hint="eastAsia" w:ascii="Times New Roman"/>
                <w:color w:val="auto"/>
                <w:sz w:val="21"/>
              </w:rPr>
              <w:t>5</w:t>
            </w:r>
          </w:p>
        </w:tc>
        <w:tc>
          <w:tcPr>
            <w:tcW w:w="1803" w:type="dxa"/>
            <w:vAlign w:val="center"/>
          </w:tcPr>
          <w:p>
            <w:pPr>
              <w:pStyle w:val="154"/>
              <w:spacing w:before="3"/>
              <w:rPr>
                <w:color w:val="auto"/>
                <w:sz w:val="21"/>
              </w:rPr>
            </w:pPr>
            <w:r>
              <w:rPr>
                <w:color w:val="auto"/>
                <w:sz w:val="21"/>
              </w:rPr>
              <w:t>报价轮次</w:t>
            </w:r>
          </w:p>
        </w:tc>
        <w:tc>
          <w:tcPr>
            <w:tcW w:w="5535" w:type="dxa"/>
            <w:vAlign w:val="center"/>
          </w:tcPr>
          <w:p>
            <w:pPr>
              <w:pStyle w:val="154"/>
              <w:spacing w:before="33" w:line="304" w:lineRule="auto"/>
              <w:rPr>
                <w:rFonts w:ascii="Times New Roman" w:eastAsia="Times New Roman"/>
                <w:color w:val="auto"/>
                <w:sz w:val="21"/>
                <w:u w:val="single"/>
              </w:rPr>
            </w:pPr>
            <w:r>
              <w:rPr>
                <w:color w:val="auto"/>
                <w:sz w:val="21"/>
              </w:rPr>
              <w:t>一轮，各供应商首轮报价即最终报价。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6" w:hRule="atLeast"/>
        </w:trPr>
        <w:tc>
          <w:tcPr>
            <w:tcW w:w="1227" w:type="dxa"/>
            <w:vAlign w:val="center"/>
          </w:tcPr>
          <w:p>
            <w:pPr>
              <w:pStyle w:val="154"/>
              <w:spacing w:before="9"/>
              <w:jc w:val="center"/>
              <w:rPr>
                <w:rFonts w:ascii="Times New Roman"/>
                <w:color w:val="auto"/>
                <w:sz w:val="17"/>
              </w:rPr>
            </w:pPr>
          </w:p>
          <w:p>
            <w:pPr>
              <w:pStyle w:val="154"/>
              <w:spacing w:before="11"/>
              <w:jc w:val="center"/>
              <w:rPr>
                <w:rFonts w:ascii="Times New Roman"/>
                <w:color w:val="auto"/>
                <w:sz w:val="21"/>
              </w:rPr>
            </w:pPr>
            <w:r>
              <w:rPr>
                <w:rFonts w:ascii="Times New Roman"/>
                <w:color w:val="auto"/>
                <w:sz w:val="21"/>
              </w:rPr>
              <w:t>2</w:t>
            </w:r>
            <w:r>
              <w:rPr>
                <w:rFonts w:hint="eastAsia" w:ascii="Times New Roman"/>
                <w:color w:val="auto"/>
                <w:sz w:val="21"/>
              </w:rPr>
              <w:t>6</w:t>
            </w:r>
          </w:p>
        </w:tc>
        <w:tc>
          <w:tcPr>
            <w:tcW w:w="1803" w:type="dxa"/>
            <w:vAlign w:val="center"/>
          </w:tcPr>
          <w:p>
            <w:pPr>
              <w:pStyle w:val="154"/>
              <w:spacing w:before="48"/>
              <w:rPr>
                <w:color w:val="auto"/>
                <w:sz w:val="21"/>
              </w:rPr>
            </w:pPr>
            <w:r>
              <w:rPr>
                <w:color w:val="auto"/>
                <w:sz w:val="21"/>
              </w:rPr>
              <w:t>磋商小组推荐成</w:t>
            </w:r>
          </w:p>
          <w:p>
            <w:pPr>
              <w:pStyle w:val="154"/>
              <w:spacing w:before="3"/>
              <w:rPr>
                <w:color w:val="auto"/>
                <w:sz w:val="21"/>
              </w:rPr>
            </w:pPr>
            <w:r>
              <w:rPr>
                <w:color w:val="auto"/>
                <w:sz w:val="21"/>
              </w:rPr>
              <w:t>交候选人的人数</w:t>
            </w:r>
          </w:p>
        </w:tc>
        <w:tc>
          <w:tcPr>
            <w:tcW w:w="5535" w:type="dxa"/>
            <w:vAlign w:val="center"/>
          </w:tcPr>
          <w:p>
            <w:pPr>
              <w:pStyle w:val="154"/>
              <w:spacing w:before="33"/>
              <w:rPr>
                <w:rFonts w:ascii="Times New Roman" w:eastAsia="Times New Roman"/>
                <w:color w:val="auto"/>
                <w:sz w:val="21"/>
                <w:u w:val="single"/>
              </w:rPr>
            </w:pPr>
            <w:r>
              <w:rPr>
                <w:color w:val="auto"/>
                <w:sz w:val="21"/>
              </w:rPr>
              <w:t>磋商小组推荐的成交候选人数量：</w:t>
            </w:r>
            <w:r>
              <w:rPr>
                <w:rFonts w:ascii="Times New Roman" w:eastAsia="Times New Roman"/>
                <w:color w:val="auto"/>
                <w:sz w:val="21"/>
              </w:rPr>
              <w:t xml:space="preserve">3 </w:t>
            </w:r>
            <w:r>
              <w:rPr>
                <w:color w:val="auto"/>
                <w:sz w:val="21"/>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27" w:type="dxa"/>
            <w:vAlign w:val="center"/>
          </w:tcPr>
          <w:p>
            <w:pPr>
              <w:pStyle w:val="154"/>
              <w:spacing w:before="3"/>
              <w:jc w:val="center"/>
              <w:rPr>
                <w:rFonts w:ascii="Times New Roman"/>
                <w:color w:val="auto"/>
                <w:sz w:val="21"/>
              </w:rPr>
            </w:pPr>
            <w:r>
              <w:rPr>
                <w:rFonts w:ascii="Times New Roman"/>
                <w:color w:val="auto"/>
                <w:sz w:val="21"/>
              </w:rPr>
              <w:t>2</w:t>
            </w:r>
            <w:r>
              <w:rPr>
                <w:rFonts w:hint="eastAsia" w:ascii="Times New Roman"/>
                <w:color w:val="auto"/>
                <w:sz w:val="21"/>
              </w:rPr>
              <w:t>7</w:t>
            </w:r>
          </w:p>
        </w:tc>
        <w:tc>
          <w:tcPr>
            <w:tcW w:w="1803" w:type="dxa"/>
            <w:vAlign w:val="center"/>
          </w:tcPr>
          <w:p>
            <w:pPr>
              <w:pStyle w:val="154"/>
              <w:spacing w:before="33" w:line="304" w:lineRule="auto"/>
              <w:rPr>
                <w:color w:val="auto"/>
                <w:sz w:val="21"/>
              </w:rPr>
            </w:pPr>
            <w:r>
              <w:rPr>
                <w:color w:val="auto"/>
                <w:sz w:val="21"/>
              </w:rPr>
              <w:t>合同形式</w:t>
            </w:r>
          </w:p>
        </w:tc>
        <w:tc>
          <w:tcPr>
            <w:tcW w:w="5535" w:type="dxa"/>
            <w:vAlign w:val="center"/>
          </w:tcPr>
          <w:p>
            <w:pPr>
              <w:pStyle w:val="154"/>
              <w:spacing w:before="10"/>
              <w:rPr>
                <w:rFonts w:ascii="Times New Roman" w:eastAsia="Times New Roman"/>
                <w:color w:val="auto"/>
                <w:sz w:val="21"/>
                <w:u w:val="single"/>
              </w:rPr>
            </w:pPr>
            <w:r>
              <w:rPr>
                <w:color w:val="auto"/>
                <w:sz w:val="21"/>
              </w:rPr>
              <w:t>固定总价合同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27" w:type="dxa"/>
            <w:vAlign w:val="center"/>
          </w:tcPr>
          <w:p>
            <w:pPr>
              <w:pStyle w:val="154"/>
              <w:spacing w:before="3"/>
              <w:jc w:val="center"/>
              <w:rPr>
                <w:rFonts w:hint="default" w:ascii="Times New Roman" w:eastAsia="宋体"/>
                <w:color w:val="auto"/>
                <w:sz w:val="21"/>
                <w:lang w:val="en-US" w:eastAsia="zh-CN"/>
              </w:rPr>
            </w:pPr>
            <w:r>
              <w:rPr>
                <w:rFonts w:hint="eastAsia" w:ascii="Times New Roman"/>
                <w:color w:val="auto"/>
                <w:sz w:val="21"/>
                <w:lang w:val="en-US" w:eastAsia="zh-CN"/>
              </w:rPr>
              <w:t>28</w:t>
            </w:r>
          </w:p>
        </w:tc>
        <w:tc>
          <w:tcPr>
            <w:tcW w:w="1803" w:type="dxa"/>
            <w:vAlign w:val="center"/>
          </w:tcPr>
          <w:p>
            <w:pPr>
              <w:pStyle w:val="154"/>
              <w:spacing w:before="33" w:line="304" w:lineRule="auto"/>
              <w:rPr>
                <w:rFonts w:hint="default" w:eastAsia="宋体"/>
                <w:color w:val="auto"/>
                <w:sz w:val="21"/>
                <w:lang w:val="en-US" w:eastAsia="zh-CN"/>
              </w:rPr>
            </w:pPr>
            <w:r>
              <w:rPr>
                <w:rFonts w:hint="eastAsia"/>
                <w:color w:val="auto"/>
                <w:sz w:val="21"/>
                <w:lang w:val="en-US" w:eastAsia="zh-CN"/>
              </w:rPr>
              <w:t>响应文件有效期</w:t>
            </w:r>
          </w:p>
        </w:tc>
        <w:tc>
          <w:tcPr>
            <w:tcW w:w="5535" w:type="dxa"/>
            <w:vAlign w:val="center"/>
          </w:tcPr>
          <w:p>
            <w:pPr>
              <w:pStyle w:val="154"/>
              <w:spacing w:before="10"/>
              <w:rPr>
                <w:rFonts w:hint="default" w:eastAsia="宋体"/>
                <w:color w:val="auto"/>
                <w:sz w:val="21"/>
                <w:lang w:val="en-US" w:eastAsia="zh-CN"/>
              </w:rPr>
            </w:pPr>
            <w:r>
              <w:rPr>
                <w:rFonts w:hint="eastAsia"/>
                <w:color w:val="auto"/>
                <w:sz w:val="21"/>
                <w:lang w:val="en-US" w:eastAsia="zh-CN"/>
              </w:rPr>
              <w:t>90天</w:t>
            </w:r>
          </w:p>
        </w:tc>
      </w:tr>
    </w:tbl>
    <w:p>
      <w:pPr>
        <w:pStyle w:val="4"/>
        <w:keepNext w:val="0"/>
        <w:spacing w:before="240" w:after="120" w:line="480" w:lineRule="atLeast"/>
        <w:rPr>
          <w:rFonts w:ascii="宋体" w:hAnsi="宋体" w:eastAsia="宋体"/>
          <w:color w:val="auto"/>
          <w:sz w:val="30"/>
        </w:rPr>
      </w:pPr>
    </w:p>
    <w:p>
      <w:pPr>
        <w:widowControl/>
        <w:jc w:val="left"/>
        <w:rPr>
          <w:rFonts w:ascii="宋体" w:hAnsi="宋体"/>
          <w:color w:val="auto"/>
          <w:sz w:val="30"/>
        </w:rPr>
      </w:pPr>
      <w:r>
        <w:rPr>
          <w:rFonts w:ascii="宋体" w:hAnsi="宋体"/>
          <w:color w:val="auto"/>
          <w:sz w:val="30"/>
        </w:rPr>
        <w:br w:type="page"/>
      </w:r>
    </w:p>
    <w:p>
      <w:pPr>
        <w:pStyle w:val="3"/>
        <w:keepNext w:val="0"/>
        <w:numPr>
          <w:ilvl w:val="0"/>
          <w:numId w:val="0"/>
        </w:numPr>
        <w:tabs>
          <w:tab w:val="left" w:pos="1759"/>
          <w:tab w:val="clear" w:pos="360"/>
          <w:tab w:val="clear" w:pos="1155"/>
        </w:tabs>
        <w:spacing w:before="340" w:afterLines="50" w:line="360" w:lineRule="auto"/>
        <w:jc w:val="center"/>
        <w:rPr>
          <w:rFonts w:ascii="方正小标宋简体" w:hAnsi="方正小标宋简体" w:eastAsia="方正小标宋简体" w:cs="方正小标宋简体"/>
          <w:color w:val="auto"/>
          <w:kern w:val="44"/>
          <w:sz w:val="44"/>
          <w:lang w:bidi="ar-SA"/>
        </w:rPr>
      </w:pPr>
      <w:r>
        <w:rPr>
          <w:rFonts w:hint="eastAsia" w:ascii="方正小标宋简体" w:hAnsi="方正小标宋简体" w:eastAsia="方正小标宋简体" w:cs="方正小标宋简体"/>
          <w:color w:val="auto"/>
          <w:kern w:val="44"/>
          <w:sz w:val="44"/>
          <w:lang w:bidi="ar-SA"/>
        </w:rPr>
        <w:t>第一章</w:t>
      </w:r>
      <w:r>
        <w:rPr>
          <w:rFonts w:hint="eastAsia" w:ascii="方正小标宋简体" w:hAnsi="方正小标宋简体" w:eastAsia="方正小标宋简体" w:cs="方正小标宋简体"/>
          <w:color w:val="auto"/>
          <w:kern w:val="44"/>
          <w:sz w:val="44"/>
          <w:lang w:bidi="ar-SA"/>
        </w:rPr>
        <w:tab/>
      </w:r>
      <w:r>
        <w:rPr>
          <w:rFonts w:hint="eastAsia" w:ascii="方正小标宋简体" w:hAnsi="方正小标宋简体" w:eastAsia="方正小标宋简体" w:cs="方正小标宋简体"/>
          <w:color w:val="auto"/>
          <w:kern w:val="44"/>
          <w:sz w:val="44"/>
          <w:lang w:bidi="ar-SA"/>
        </w:rPr>
        <w:t>采购需求</w:t>
      </w:r>
    </w:p>
    <w:p>
      <w:pPr>
        <w:pStyle w:val="3"/>
        <w:keepNext w:val="0"/>
        <w:numPr>
          <w:ilvl w:val="0"/>
          <w:numId w:val="0"/>
        </w:numPr>
        <w:tabs>
          <w:tab w:val="left" w:pos="1759"/>
          <w:tab w:val="clear" w:pos="360"/>
          <w:tab w:val="clear" w:pos="1155"/>
        </w:tabs>
        <w:spacing w:beforeLines="50" w:afterLines="50" w:line="560" w:lineRule="exact"/>
        <w:ind w:left="420" w:leftChars="200"/>
        <w:rPr>
          <w:rFonts w:ascii="宋体" w:hAnsi="宋体" w:eastAsia="宋体" w:cs="宋体"/>
          <w:b/>
          <w:color w:val="auto"/>
          <w:sz w:val="21"/>
          <w:szCs w:val="21"/>
          <w:lang w:bidi="ar-SA"/>
        </w:rPr>
      </w:pPr>
      <w:r>
        <w:rPr>
          <w:rFonts w:hint="eastAsia" w:ascii="宋体" w:hAnsi="宋体" w:eastAsia="宋体" w:cs="宋体"/>
          <w:b/>
          <w:color w:val="auto"/>
          <w:sz w:val="21"/>
        </w:rPr>
        <w:t>一、</w:t>
      </w:r>
      <w:r>
        <w:rPr>
          <w:rFonts w:hint="eastAsia" w:ascii="宋体" w:hAnsi="宋体" w:eastAsia="宋体" w:cs="宋体"/>
          <w:b/>
          <w:color w:val="auto"/>
          <w:sz w:val="21"/>
          <w:szCs w:val="21"/>
          <w:lang w:bidi="ar-SA"/>
        </w:rPr>
        <w:t>项目背景</w:t>
      </w:r>
    </w:p>
    <w:p>
      <w:pPr>
        <w:widowControl/>
        <w:spacing w:line="480" w:lineRule="exact"/>
        <w:ind w:firstLine="434" w:firstLineChars="207"/>
        <w:jc w:val="left"/>
        <w:rPr>
          <w:rFonts w:ascii="宋体" w:hAnsi="宋体" w:cs="宋体"/>
          <w:bCs/>
          <w:color w:val="auto"/>
          <w:szCs w:val="21"/>
        </w:rPr>
      </w:pPr>
      <w:r>
        <w:rPr>
          <w:rFonts w:hint="eastAsia" w:ascii="宋体" w:hAnsi="宋体" w:cs="宋体"/>
          <w:bCs/>
          <w:color w:val="auto"/>
          <w:szCs w:val="21"/>
        </w:rPr>
        <w:t>为深入贯彻落实习近平总书记关于网络安全工作的重要指示精神，根据《中华人民共和国网络安全法》、《网络安全等级保护条例》以及《关于开展全国重要信息系统安全等级保护定级工作的通知》等文件要求，须对</w:t>
      </w:r>
      <w:r>
        <w:rPr>
          <w:rFonts w:hint="eastAsia" w:ascii="宋体" w:hAnsi="宋体" w:cs="宋体"/>
          <w:bCs/>
          <w:color w:val="auto"/>
          <w:szCs w:val="21"/>
          <w:lang w:eastAsia="zh-CN"/>
        </w:rPr>
        <w:t>淮北市</w:t>
      </w:r>
      <w:r>
        <w:rPr>
          <w:rFonts w:hint="eastAsia" w:ascii="宋体" w:hAnsi="宋体" w:cs="宋体"/>
          <w:color w:val="auto"/>
          <w:szCs w:val="22"/>
        </w:rPr>
        <w:t>公共资源交易中心信息</w:t>
      </w:r>
      <w:r>
        <w:rPr>
          <w:rFonts w:hint="eastAsia" w:ascii="宋体" w:hAnsi="宋体" w:cs="宋体"/>
          <w:bCs/>
          <w:color w:val="auto"/>
          <w:szCs w:val="21"/>
        </w:rPr>
        <w:t>系统进行等级保护测评。</w:t>
      </w:r>
    </w:p>
    <w:p>
      <w:pPr>
        <w:spacing w:line="480" w:lineRule="exact"/>
        <w:ind w:firstLine="482"/>
        <w:rPr>
          <w:rFonts w:ascii="宋体" w:hAnsi="宋体" w:cs="宋体"/>
          <w:b/>
          <w:color w:val="auto"/>
        </w:rPr>
      </w:pPr>
      <w:bookmarkStart w:id="9" w:name="_Toc11791059"/>
      <w:bookmarkStart w:id="10" w:name="_Toc44515526"/>
      <w:r>
        <w:rPr>
          <w:rFonts w:hint="eastAsia" w:ascii="宋体" w:hAnsi="宋体" w:cs="宋体"/>
          <w:b/>
          <w:color w:val="auto"/>
        </w:rPr>
        <w:t>二、项目目的</w:t>
      </w:r>
      <w:bookmarkEnd w:id="9"/>
      <w:bookmarkEnd w:id="10"/>
    </w:p>
    <w:p>
      <w:pPr>
        <w:spacing w:line="480" w:lineRule="exact"/>
        <w:ind w:firstLine="482"/>
        <w:rPr>
          <w:rFonts w:ascii="宋体" w:hAnsi="宋体" w:cs="宋体"/>
          <w:bCs/>
          <w:color w:val="auto"/>
          <w:szCs w:val="21"/>
        </w:rPr>
      </w:pPr>
      <w:r>
        <w:rPr>
          <w:rFonts w:hint="eastAsia" w:ascii="宋体" w:hAnsi="宋体" w:cs="宋体"/>
          <w:bCs/>
          <w:color w:val="auto"/>
          <w:szCs w:val="21"/>
        </w:rPr>
        <w:t>依据《中华人民共和国网络安全法》《信息安全等级保护管理办法》的相关要求，为进一步加强</w:t>
      </w:r>
      <w:r>
        <w:rPr>
          <w:rFonts w:hint="eastAsia" w:ascii="宋体" w:hAnsi="宋体" w:cs="宋体"/>
          <w:color w:val="auto"/>
          <w:szCs w:val="22"/>
        </w:rPr>
        <w:t>淮北市公共资源交易中心信息</w:t>
      </w:r>
      <w:r>
        <w:rPr>
          <w:rFonts w:hint="eastAsia" w:ascii="宋体" w:hAnsi="宋体" w:cs="宋体"/>
          <w:bCs/>
          <w:color w:val="auto"/>
          <w:szCs w:val="21"/>
        </w:rPr>
        <w:t>系统的整体安全防护能力，确保系统在使用过程中的安全稳定，须对</w:t>
      </w:r>
      <w:r>
        <w:rPr>
          <w:rFonts w:hint="eastAsia" w:ascii="宋体" w:hAnsi="宋体" w:cs="宋体"/>
          <w:color w:val="auto"/>
          <w:szCs w:val="22"/>
        </w:rPr>
        <w:t>淮北市公共资源交易中心信息</w:t>
      </w:r>
      <w:r>
        <w:rPr>
          <w:rFonts w:hint="eastAsia" w:ascii="宋体" w:hAnsi="宋体" w:cs="宋体"/>
          <w:bCs/>
          <w:color w:val="auto"/>
          <w:szCs w:val="21"/>
        </w:rPr>
        <w:t>系统进行2</w:t>
      </w:r>
      <w:r>
        <w:rPr>
          <w:rFonts w:ascii="宋体" w:hAnsi="宋体" w:cs="宋体"/>
          <w:bCs/>
          <w:color w:val="auto"/>
          <w:szCs w:val="21"/>
        </w:rPr>
        <w:t>023</w:t>
      </w:r>
      <w:r>
        <w:rPr>
          <w:rFonts w:hint="eastAsia" w:ascii="宋体" w:hAnsi="宋体" w:cs="宋体"/>
          <w:bCs/>
          <w:color w:val="auto"/>
          <w:szCs w:val="21"/>
        </w:rPr>
        <w:t>年</w:t>
      </w:r>
      <w:r>
        <w:rPr>
          <w:rFonts w:hint="eastAsia" w:ascii="宋体" w:hAnsi="宋体" w:cs="宋体"/>
          <w:bCs/>
          <w:color w:val="auto"/>
          <w:szCs w:val="21"/>
          <w:lang w:eastAsia="zh-CN"/>
        </w:rPr>
        <w:t>度</w:t>
      </w:r>
      <w:r>
        <w:rPr>
          <w:rFonts w:hint="eastAsia" w:ascii="宋体" w:hAnsi="宋体" w:cs="宋体"/>
          <w:bCs/>
          <w:color w:val="auto"/>
          <w:szCs w:val="21"/>
        </w:rPr>
        <w:t>网络安全等级保护测评。并根据测评结果持续推进</w:t>
      </w:r>
      <w:r>
        <w:rPr>
          <w:rFonts w:hint="eastAsia" w:ascii="宋体" w:hAnsi="宋体" w:cs="宋体"/>
          <w:color w:val="auto"/>
          <w:szCs w:val="22"/>
        </w:rPr>
        <w:t>淮北市公共资源交易中心信息</w:t>
      </w:r>
      <w:r>
        <w:rPr>
          <w:rFonts w:hint="eastAsia" w:ascii="宋体" w:hAnsi="宋体" w:cs="宋体"/>
          <w:bCs/>
          <w:color w:val="auto"/>
          <w:szCs w:val="21"/>
        </w:rPr>
        <w:t>系统的安全建设，不断提高</w:t>
      </w:r>
      <w:r>
        <w:rPr>
          <w:rFonts w:hint="eastAsia" w:ascii="宋体" w:hAnsi="宋体" w:cs="宋体"/>
          <w:color w:val="auto"/>
          <w:szCs w:val="22"/>
        </w:rPr>
        <w:t>淮北市公共资源交易中心信息</w:t>
      </w:r>
      <w:r>
        <w:rPr>
          <w:rFonts w:hint="eastAsia" w:ascii="宋体" w:hAnsi="宋体" w:cs="宋体"/>
          <w:bCs/>
          <w:color w:val="auto"/>
          <w:szCs w:val="21"/>
        </w:rPr>
        <w:t>系统的安全防护能力。</w:t>
      </w:r>
    </w:p>
    <w:p>
      <w:pPr>
        <w:spacing w:line="480" w:lineRule="exact"/>
        <w:ind w:firstLine="482"/>
        <w:rPr>
          <w:rFonts w:ascii="宋体" w:hAnsi="宋体" w:cs="宋体"/>
          <w:b/>
          <w:color w:val="auto"/>
        </w:rPr>
      </w:pPr>
      <w:r>
        <w:rPr>
          <w:rFonts w:hint="eastAsia" w:ascii="宋体" w:hAnsi="宋体" w:cs="宋体"/>
          <w:b/>
          <w:color w:val="auto"/>
        </w:rPr>
        <w:t>三、测评标准</w:t>
      </w:r>
    </w:p>
    <w:p>
      <w:pPr>
        <w:widowControl/>
        <w:spacing w:line="480" w:lineRule="exact"/>
        <w:ind w:firstLine="434" w:firstLineChars="207"/>
        <w:jc w:val="left"/>
        <w:rPr>
          <w:rFonts w:ascii="宋体" w:hAnsi="宋体" w:cs="宋体"/>
          <w:bCs/>
          <w:color w:val="auto"/>
          <w:szCs w:val="21"/>
        </w:rPr>
      </w:pPr>
      <w:r>
        <w:rPr>
          <w:rFonts w:hint="eastAsia" w:ascii="宋体" w:hAnsi="宋体" w:cs="宋体"/>
          <w:bCs/>
          <w:color w:val="auto"/>
          <w:szCs w:val="21"/>
        </w:rPr>
        <w:t>《中华人民共和国网络安全法》明确规定：国家实行网络安全等级保护制度。网络运营者应当按照网络安全等级保护制度的要求，履行下列安全保护义务，保障网络免受干扰、破坏或者未经授权的访问，防止网络数据泄露或者被窃取、篡改：</w:t>
      </w:r>
    </w:p>
    <w:p>
      <w:pPr>
        <w:widowControl/>
        <w:spacing w:line="480" w:lineRule="exact"/>
        <w:ind w:firstLine="434" w:firstLineChars="207"/>
        <w:jc w:val="left"/>
        <w:rPr>
          <w:rFonts w:ascii="宋体" w:hAnsi="宋体" w:cs="宋体"/>
          <w:bCs/>
          <w:color w:val="auto"/>
          <w:szCs w:val="21"/>
        </w:rPr>
      </w:pPr>
      <w:r>
        <w:rPr>
          <w:rFonts w:hint="eastAsia" w:ascii="宋体" w:hAnsi="宋体" w:cs="宋体"/>
          <w:bCs/>
          <w:color w:val="auto"/>
          <w:szCs w:val="21"/>
        </w:rPr>
        <w:t>1.制定内部安全管理制度和操作规程，确定网络安全负责人，落实网络安全保护责任;</w:t>
      </w:r>
    </w:p>
    <w:p>
      <w:pPr>
        <w:widowControl/>
        <w:spacing w:line="480" w:lineRule="exact"/>
        <w:ind w:firstLine="434" w:firstLineChars="207"/>
        <w:jc w:val="left"/>
        <w:rPr>
          <w:rFonts w:ascii="宋体" w:hAnsi="宋体" w:cs="宋体"/>
          <w:bCs/>
          <w:color w:val="auto"/>
          <w:szCs w:val="21"/>
        </w:rPr>
      </w:pPr>
      <w:r>
        <w:rPr>
          <w:rFonts w:hint="eastAsia" w:ascii="宋体" w:hAnsi="宋体" w:cs="宋体"/>
          <w:bCs/>
          <w:color w:val="auto"/>
          <w:szCs w:val="21"/>
        </w:rPr>
        <w:t>2.采取防范计算机病毒和网络攻击、网络侵入等危害网络安全行为的技术措施;</w:t>
      </w:r>
    </w:p>
    <w:p>
      <w:pPr>
        <w:widowControl/>
        <w:spacing w:line="480" w:lineRule="exact"/>
        <w:ind w:firstLine="434" w:firstLineChars="207"/>
        <w:jc w:val="left"/>
        <w:rPr>
          <w:rFonts w:ascii="宋体" w:hAnsi="宋体" w:cs="宋体"/>
          <w:bCs/>
          <w:color w:val="auto"/>
          <w:szCs w:val="21"/>
        </w:rPr>
      </w:pPr>
      <w:r>
        <w:rPr>
          <w:rFonts w:hint="eastAsia" w:ascii="宋体" w:hAnsi="宋体" w:cs="宋体"/>
          <w:bCs/>
          <w:color w:val="auto"/>
          <w:szCs w:val="21"/>
        </w:rPr>
        <w:t>3.采取监测、记录网络运行状态、网络安全事件的技术措施，并按照规定留存相关的网络日志不少于六个月;</w:t>
      </w:r>
    </w:p>
    <w:p>
      <w:pPr>
        <w:widowControl/>
        <w:spacing w:line="480" w:lineRule="exact"/>
        <w:ind w:firstLine="434" w:firstLineChars="207"/>
        <w:jc w:val="left"/>
        <w:rPr>
          <w:rFonts w:ascii="宋体" w:hAnsi="宋体" w:cs="宋体"/>
          <w:bCs/>
          <w:color w:val="auto"/>
          <w:szCs w:val="21"/>
        </w:rPr>
      </w:pPr>
      <w:r>
        <w:rPr>
          <w:rFonts w:hint="eastAsia" w:ascii="宋体" w:hAnsi="宋体" w:cs="宋体"/>
          <w:bCs/>
          <w:color w:val="auto"/>
          <w:szCs w:val="21"/>
        </w:rPr>
        <w:t>4.采取数据分类、重要数据备份和加密等措施;</w:t>
      </w:r>
    </w:p>
    <w:p>
      <w:pPr>
        <w:widowControl/>
        <w:spacing w:line="480" w:lineRule="exact"/>
        <w:ind w:firstLine="434" w:firstLineChars="207"/>
        <w:jc w:val="left"/>
        <w:rPr>
          <w:rFonts w:ascii="宋体" w:hAnsi="宋体" w:cs="宋体"/>
          <w:bCs/>
          <w:color w:val="auto"/>
          <w:szCs w:val="21"/>
        </w:rPr>
      </w:pPr>
      <w:r>
        <w:rPr>
          <w:rFonts w:hint="eastAsia" w:ascii="宋体" w:hAnsi="宋体" w:cs="宋体"/>
          <w:bCs/>
          <w:color w:val="auto"/>
          <w:szCs w:val="21"/>
        </w:rPr>
        <w:t>5.法律、行政法规规定的其他义务。</w:t>
      </w:r>
    </w:p>
    <w:p>
      <w:pPr>
        <w:spacing w:line="480" w:lineRule="exact"/>
        <w:ind w:firstLine="482"/>
        <w:rPr>
          <w:rFonts w:ascii="宋体" w:hAnsi="宋体" w:cs="宋体"/>
          <w:b/>
          <w:color w:val="auto"/>
        </w:rPr>
      </w:pPr>
      <w:bookmarkStart w:id="11" w:name="_Toc44515528"/>
      <w:bookmarkStart w:id="12" w:name="_Toc11791062"/>
      <w:r>
        <w:rPr>
          <w:rFonts w:hint="eastAsia" w:ascii="宋体" w:hAnsi="宋体" w:cs="宋体"/>
          <w:b/>
          <w:color w:val="auto"/>
        </w:rPr>
        <w:t>参考标准</w:t>
      </w:r>
      <w:bookmarkEnd w:id="11"/>
      <w:bookmarkEnd w:id="12"/>
      <w:r>
        <w:rPr>
          <w:rFonts w:hint="eastAsia" w:ascii="宋体" w:hAnsi="宋体" w:cs="宋体"/>
          <w:b/>
          <w:color w:val="auto"/>
        </w:rPr>
        <w:t>：</w:t>
      </w:r>
    </w:p>
    <w:p>
      <w:pPr>
        <w:pStyle w:val="324"/>
        <w:numPr>
          <w:ilvl w:val="0"/>
          <w:numId w:val="15"/>
        </w:numPr>
        <w:spacing w:after="0" w:line="520" w:lineRule="exact"/>
        <w:ind w:firstLineChars="0"/>
        <w:rPr>
          <w:rFonts w:ascii="宋体" w:hAnsi="宋体" w:eastAsia="宋体" w:cs="宋体"/>
          <w:bCs/>
          <w:color w:val="auto"/>
          <w:kern w:val="2"/>
          <w:sz w:val="21"/>
          <w:szCs w:val="21"/>
        </w:rPr>
      </w:pPr>
      <w:r>
        <w:rPr>
          <w:rFonts w:ascii="宋体" w:hAnsi="宋体" w:eastAsia="宋体" w:cs="宋体"/>
          <w:bCs/>
          <w:color w:val="auto"/>
          <w:kern w:val="2"/>
          <w:sz w:val="21"/>
          <w:szCs w:val="21"/>
        </w:rPr>
        <w:t>《中华人民共和国网络安全法》</w:t>
      </w:r>
    </w:p>
    <w:p>
      <w:pPr>
        <w:pStyle w:val="324"/>
        <w:numPr>
          <w:ilvl w:val="0"/>
          <w:numId w:val="15"/>
        </w:numPr>
        <w:spacing w:after="0" w:line="520" w:lineRule="exact"/>
        <w:ind w:firstLineChars="0"/>
        <w:rPr>
          <w:rFonts w:ascii="宋体" w:hAnsi="宋体" w:eastAsia="宋体" w:cs="宋体"/>
          <w:bCs/>
          <w:color w:val="auto"/>
          <w:kern w:val="2"/>
          <w:sz w:val="21"/>
          <w:szCs w:val="21"/>
        </w:rPr>
      </w:pPr>
      <w:r>
        <w:rPr>
          <w:rFonts w:hint="eastAsia" w:ascii="宋体" w:hAnsi="宋体" w:eastAsia="宋体" w:cs="宋体"/>
          <w:bCs/>
          <w:color w:val="auto"/>
          <w:kern w:val="2"/>
          <w:sz w:val="21"/>
          <w:szCs w:val="21"/>
        </w:rPr>
        <w:t>《信息安全等级保护管理办法》</w:t>
      </w:r>
    </w:p>
    <w:p>
      <w:pPr>
        <w:pStyle w:val="324"/>
        <w:numPr>
          <w:ilvl w:val="0"/>
          <w:numId w:val="15"/>
        </w:numPr>
        <w:spacing w:after="0" w:line="520" w:lineRule="exact"/>
        <w:ind w:firstLineChars="0"/>
        <w:rPr>
          <w:rFonts w:ascii="宋体" w:hAnsi="宋体" w:eastAsia="宋体" w:cs="宋体"/>
          <w:bCs/>
          <w:color w:val="auto"/>
          <w:kern w:val="2"/>
          <w:sz w:val="21"/>
          <w:szCs w:val="21"/>
        </w:rPr>
      </w:pPr>
      <w:r>
        <w:rPr>
          <w:rFonts w:ascii="宋体" w:hAnsi="宋体" w:eastAsia="宋体" w:cs="宋体"/>
          <w:bCs/>
          <w:color w:val="auto"/>
          <w:kern w:val="2"/>
          <w:sz w:val="21"/>
          <w:szCs w:val="21"/>
        </w:rPr>
        <w:t>《信息技术-安全技术-信息技术安全性评估准则》（ GB/T 18336-2015）</w:t>
      </w:r>
    </w:p>
    <w:p>
      <w:pPr>
        <w:widowControl/>
        <w:numPr>
          <w:ilvl w:val="0"/>
          <w:numId w:val="16"/>
        </w:numPr>
        <w:spacing w:line="480" w:lineRule="exact"/>
        <w:jc w:val="left"/>
        <w:rPr>
          <w:rFonts w:ascii="宋体" w:hAnsi="宋体" w:cs="宋体"/>
          <w:bCs/>
          <w:color w:val="auto"/>
          <w:szCs w:val="21"/>
        </w:rPr>
      </w:pPr>
      <w:r>
        <w:rPr>
          <w:rFonts w:hint="eastAsia" w:ascii="宋体" w:hAnsi="宋体" w:cs="宋体"/>
          <w:bCs/>
          <w:color w:val="auto"/>
          <w:szCs w:val="21"/>
        </w:rPr>
        <w:t>《信息安全技术  网络安全等级保护实施指南》（GB/T 25058-2019）</w:t>
      </w:r>
    </w:p>
    <w:p>
      <w:pPr>
        <w:widowControl/>
        <w:numPr>
          <w:ilvl w:val="0"/>
          <w:numId w:val="16"/>
        </w:numPr>
        <w:spacing w:line="480" w:lineRule="exact"/>
        <w:jc w:val="left"/>
        <w:rPr>
          <w:rFonts w:ascii="宋体" w:hAnsi="宋体" w:cs="宋体"/>
          <w:bCs/>
          <w:color w:val="auto"/>
          <w:szCs w:val="21"/>
        </w:rPr>
      </w:pPr>
      <w:r>
        <w:rPr>
          <w:rFonts w:hint="eastAsia" w:ascii="宋体" w:hAnsi="宋体" w:cs="宋体"/>
          <w:bCs/>
          <w:color w:val="auto"/>
          <w:szCs w:val="21"/>
        </w:rPr>
        <w:t>《信息安全技术  网络安全等级保护基本要求》（GB/T 22239-2019）</w:t>
      </w:r>
    </w:p>
    <w:p>
      <w:pPr>
        <w:widowControl/>
        <w:numPr>
          <w:ilvl w:val="0"/>
          <w:numId w:val="16"/>
        </w:numPr>
        <w:spacing w:line="480" w:lineRule="exact"/>
        <w:jc w:val="left"/>
        <w:rPr>
          <w:rFonts w:ascii="宋体" w:hAnsi="宋体" w:cs="宋体"/>
          <w:bCs/>
          <w:color w:val="auto"/>
          <w:szCs w:val="21"/>
        </w:rPr>
      </w:pPr>
      <w:r>
        <w:rPr>
          <w:rFonts w:hint="eastAsia" w:ascii="宋体" w:hAnsi="宋体" w:cs="宋体"/>
          <w:bCs/>
          <w:color w:val="auto"/>
          <w:szCs w:val="21"/>
        </w:rPr>
        <w:t>《信息安全技术  网络安全等级保护设计技术要求》（GB/T 25070-2019）</w:t>
      </w:r>
    </w:p>
    <w:p>
      <w:pPr>
        <w:widowControl/>
        <w:numPr>
          <w:ilvl w:val="0"/>
          <w:numId w:val="16"/>
        </w:numPr>
        <w:spacing w:line="480" w:lineRule="exact"/>
        <w:jc w:val="left"/>
        <w:rPr>
          <w:rFonts w:ascii="宋体" w:hAnsi="宋体" w:cs="宋体"/>
          <w:bCs/>
          <w:color w:val="auto"/>
          <w:szCs w:val="21"/>
        </w:rPr>
      </w:pPr>
      <w:r>
        <w:rPr>
          <w:rFonts w:hint="eastAsia" w:ascii="宋体" w:hAnsi="宋体" w:cs="宋体"/>
          <w:bCs/>
          <w:color w:val="auto"/>
          <w:szCs w:val="21"/>
        </w:rPr>
        <w:t>《信息安全技术  网络安全等级保护测评要求》（GB/T 28448-2019）</w:t>
      </w:r>
    </w:p>
    <w:p>
      <w:pPr>
        <w:widowControl/>
        <w:numPr>
          <w:ilvl w:val="0"/>
          <w:numId w:val="16"/>
        </w:numPr>
        <w:spacing w:line="480" w:lineRule="exact"/>
        <w:jc w:val="left"/>
        <w:rPr>
          <w:rFonts w:ascii="宋体" w:hAnsi="宋体" w:cs="宋体"/>
          <w:bCs/>
          <w:color w:val="auto"/>
          <w:szCs w:val="21"/>
        </w:rPr>
      </w:pPr>
      <w:r>
        <w:rPr>
          <w:rFonts w:hint="eastAsia" w:ascii="宋体" w:hAnsi="宋体" w:cs="宋体"/>
          <w:bCs/>
          <w:color w:val="auto"/>
          <w:szCs w:val="21"/>
        </w:rPr>
        <w:t>《信息安全技术  网络安全等级保护测评过程指南》（GB/T 28449-2018）</w:t>
      </w:r>
    </w:p>
    <w:p>
      <w:pPr>
        <w:widowControl/>
        <w:numPr>
          <w:ilvl w:val="0"/>
          <w:numId w:val="16"/>
        </w:numPr>
        <w:spacing w:line="480" w:lineRule="exact"/>
        <w:jc w:val="left"/>
        <w:rPr>
          <w:rFonts w:ascii="宋体" w:hAnsi="宋体" w:cs="宋体"/>
          <w:bCs/>
          <w:color w:val="auto"/>
          <w:szCs w:val="21"/>
        </w:rPr>
      </w:pPr>
      <w:r>
        <w:rPr>
          <w:rFonts w:hint="eastAsia" w:ascii="宋体" w:hAnsi="宋体" w:cs="宋体"/>
          <w:bCs/>
          <w:color w:val="auto"/>
          <w:szCs w:val="21"/>
        </w:rPr>
        <w:t>《信息安全技术  网络安全等级保护定级指南》 （GB/T 22240-2020）</w:t>
      </w:r>
    </w:p>
    <w:p>
      <w:pPr>
        <w:widowControl/>
        <w:numPr>
          <w:ilvl w:val="0"/>
          <w:numId w:val="16"/>
        </w:numPr>
        <w:spacing w:line="480" w:lineRule="exact"/>
        <w:jc w:val="left"/>
        <w:rPr>
          <w:rFonts w:ascii="宋体" w:hAnsi="宋体" w:cs="宋体"/>
          <w:bCs/>
          <w:color w:val="auto"/>
          <w:szCs w:val="21"/>
        </w:rPr>
      </w:pPr>
      <w:r>
        <w:rPr>
          <w:rFonts w:hint="eastAsia" w:ascii="宋体" w:hAnsi="宋体" w:cs="宋体"/>
          <w:bCs/>
          <w:color w:val="auto"/>
          <w:szCs w:val="21"/>
        </w:rPr>
        <w:t>《信息安全技术  网络安全等级保护定级指南》 （GA/T 1389-2017）</w:t>
      </w:r>
    </w:p>
    <w:p>
      <w:pPr>
        <w:spacing w:line="480" w:lineRule="exact"/>
        <w:ind w:firstLine="482"/>
        <w:rPr>
          <w:rFonts w:ascii="宋体" w:hAnsi="宋体" w:cs="宋体"/>
          <w:b/>
          <w:color w:val="auto"/>
        </w:rPr>
      </w:pPr>
      <w:bookmarkStart w:id="13" w:name="_Toc44515531"/>
      <w:bookmarkStart w:id="14" w:name="_Toc11791066"/>
      <w:r>
        <w:rPr>
          <w:rFonts w:hint="eastAsia" w:ascii="宋体" w:hAnsi="宋体" w:cs="宋体"/>
          <w:b/>
          <w:color w:val="auto"/>
        </w:rPr>
        <w:t>四、项目工作范围</w:t>
      </w:r>
      <w:bookmarkEnd w:id="13"/>
      <w:bookmarkEnd w:id="14"/>
    </w:p>
    <w:tbl>
      <w:tblPr>
        <w:tblStyle w:val="5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3232"/>
        <w:gridCol w:w="2268"/>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301" w:type="dxa"/>
            <w:shd w:val="clear" w:color="auto" w:fill="F2F2F2"/>
            <w:vAlign w:val="center"/>
          </w:tcPr>
          <w:p>
            <w:pPr>
              <w:keepNext w:val="0"/>
              <w:keepLines w:val="0"/>
              <w:suppressLineNumbers w:val="0"/>
              <w:spacing w:before="0" w:beforeAutospacing="0" w:after="0" w:afterAutospacing="0" w:line="480" w:lineRule="exact"/>
              <w:ind w:left="0" w:right="0" w:firstLine="482"/>
              <w:rPr>
                <w:rFonts w:ascii="宋体" w:hAnsi="宋体" w:cs="宋体"/>
                <w:bCs/>
                <w:color w:val="auto"/>
                <w:szCs w:val="21"/>
              </w:rPr>
            </w:pPr>
            <w:r>
              <w:rPr>
                <w:rFonts w:hint="eastAsia" w:ascii="宋体" w:hAnsi="宋体" w:cs="宋体"/>
                <w:bCs/>
                <w:color w:val="auto"/>
                <w:szCs w:val="21"/>
              </w:rPr>
              <w:t>序号</w:t>
            </w:r>
          </w:p>
        </w:tc>
        <w:tc>
          <w:tcPr>
            <w:tcW w:w="3232" w:type="dxa"/>
            <w:shd w:val="clear" w:color="auto" w:fill="F2F2F2"/>
            <w:vAlign w:val="center"/>
          </w:tcPr>
          <w:p>
            <w:pPr>
              <w:keepNext w:val="0"/>
              <w:keepLines w:val="0"/>
              <w:suppressLineNumbers w:val="0"/>
              <w:spacing w:before="0" w:beforeAutospacing="0" w:after="0" w:afterAutospacing="0" w:line="480" w:lineRule="exact"/>
              <w:ind w:left="0" w:right="0" w:firstLine="482"/>
              <w:rPr>
                <w:rFonts w:ascii="宋体" w:hAnsi="宋体" w:cs="宋体"/>
                <w:bCs/>
                <w:color w:val="auto"/>
                <w:szCs w:val="21"/>
              </w:rPr>
            </w:pPr>
            <w:r>
              <w:rPr>
                <w:rFonts w:hint="eastAsia" w:ascii="宋体" w:hAnsi="宋体" w:cs="宋体"/>
                <w:bCs/>
                <w:color w:val="auto"/>
                <w:szCs w:val="21"/>
              </w:rPr>
              <w:t>系统名称</w:t>
            </w:r>
          </w:p>
        </w:tc>
        <w:tc>
          <w:tcPr>
            <w:tcW w:w="2268" w:type="dxa"/>
            <w:shd w:val="clear" w:color="auto" w:fill="F2F2F2"/>
            <w:vAlign w:val="center"/>
          </w:tcPr>
          <w:p>
            <w:pPr>
              <w:keepNext w:val="0"/>
              <w:keepLines w:val="0"/>
              <w:suppressLineNumbers w:val="0"/>
              <w:spacing w:before="0" w:beforeAutospacing="0" w:after="0" w:afterAutospacing="0" w:line="480" w:lineRule="exact"/>
              <w:ind w:left="0" w:right="0" w:firstLine="482"/>
              <w:rPr>
                <w:rFonts w:ascii="宋体" w:hAnsi="宋体" w:cs="宋体"/>
                <w:bCs/>
                <w:color w:val="auto"/>
                <w:szCs w:val="21"/>
              </w:rPr>
            </w:pPr>
            <w:r>
              <w:rPr>
                <w:rFonts w:hint="eastAsia" w:ascii="宋体" w:hAnsi="宋体" w:cs="宋体"/>
                <w:bCs/>
                <w:color w:val="auto"/>
                <w:szCs w:val="21"/>
              </w:rPr>
              <w:t>安全保护等级</w:t>
            </w:r>
          </w:p>
        </w:tc>
        <w:tc>
          <w:tcPr>
            <w:tcW w:w="2271" w:type="dxa"/>
            <w:shd w:val="clear" w:color="auto" w:fill="F2F2F2"/>
            <w:vAlign w:val="center"/>
          </w:tcPr>
          <w:p>
            <w:pPr>
              <w:keepNext w:val="0"/>
              <w:keepLines w:val="0"/>
              <w:suppressLineNumbers w:val="0"/>
              <w:spacing w:before="0" w:beforeAutospacing="0" w:after="0" w:afterAutospacing="0" w:line="480" w:lineRule="exact"/>
              <w:ind w:left="0" w:right="0" w:firstLine="482"/>
              <w:rPr>
                <w:rFonts w:ascii="宋体" w:hAnsi="宋体" w:cs="宋体"/>
                <w:bCs/>
                <w:color w:val="auto"/>
                <w:szCs w:val="21"/>
              </w:rPr>
            </w:pPr>
            <w:r>
              <w:rPr>
                <w:rFonts w:hint="eastAsia"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1" w:type="dxa"/>
            <w:vAlign w:val="center"/>
          </w:tcPr>
          <w:p>
            <w:pPr>
              <w:keepNext w:val="0"/>
              <w:keepLines w:val="0"/>
              <w:suppressLineNumbers w:val="0"/>
              <w:spacing w:before="0" w:beforeAutospacing="0" w:after="0" w:afterAutospacing="0" w:line="480" w:lineRule="exact"/>
              <w:ind w:left="0" w:right="0" w:firstLine="482"/>
              <w:rPr>
                <w:rFonts w:ascii="宋体" w:hAnsi="宋体" w:cs="宋体"/>
                <w:bCs/>
                <w:color w:val="auto"/>
                <w:szCs w:val="21"/>
              </w:rPr>
            </w:pPr>
            <w:r>
              <w:rPr>
                <w:rFonts w:hint="eastAsia" w:ascii="宋体" w:hAnsi="宋体" w:cs="宋体"/>
                <w:bCs/>
                <w:color w:val="auto"/>
                <w:szCs w:val="21"/>
              </w:rPr>
              <w:t>1</w:t>
            </w:r>
          </w:p>
        </w:tc>
        <w:tc>
          <w:tcPr>
            <w:tcW w:w="3232" w:type="dxa"/>
            <w:vAlign w:val="center"/>
          </w:tcPr>
          <w:p>
            <w:pPr>
              <w:keepNext w:val="0"/>
              <w:keepLines w:val="0"/>
              <w:suppressLineNumbers w:val="0"/>
              <w:spacing w:before="0" w:beforeAutospacing="0" w:after="0" w:afterAutospacing="0" w:line="480" w:lineRule="exact"/>
              <w:ind w:left="0" w:right="0"/>
              <w:rPr>
                <w:rFonts w:ascii="宋体" w:hAnsi="宋体" w:cs="宋体"/>
                <w:bCs/>
                <w:color w:val="auto"/>
                <w:szCs w:val="21"/>
              </w:rPr>
            </w:pPr>
            <w:r>
              <w:rPr>
                <w:rFonts w:hint="eastAsia" w:ascii="宋体" w:hAnsi="宋体" w:cs="宋体"/>
                <w:color w:val="auto"/>
                <w:szCs w:val="22"/>
              </w:rPr>
              <w:t>淮北市公共资源交易中心信息</w:t>
            </w:r>
            <w:r>
              <w:rPr>
                <w:rFonts w:hint="eastAsia" w:ascii="宋体" w:hAnsi="宋体" w:cs="宋体"/>
                <w:bCs/>
                <w:color w:val="auto"/>
                <w:szCs w:val="21"/>
              </w:rPr>
              <w:t>系统</w:t>
            </w:r>
          </w:p>
        </w:tc>
        <w:tc>
          <w:tcPr>
            <w:tcW w:w="2268" w:type="dxa"/>
            <w:vAlign w:val="center"/>
          </w:tcPr>
          <w:p>
            <w:pPr>
              <w:keepNext w:val="0"/>
              <w:keepLines w:val="0"/>
              <w:suppressLineNumbers w:val="0"/>
              <w:spacing w:before="0" w:beforeAutospacing="0" w:after="0" w:afterAutospacing="0" w:line="480" w:lineRule="exact"/>
              <w:ind w:left="0" w:right="0" w:firstLine="482"/>
              <w:rPr>
                <w:rFonts w:ascii="宋体" w:hAnsi="宋体" w:cs="宋体"/>
                <w:bCs/>
                <w:color w:val="auto"/>
                <w:szCs w:val="21"/>
              </w:rPr>
            </w:pPr>
            <w:r>
              <w:rPr>
                <w:rFonts w:hint="eastAsia" w:ascii="宋体" w:hAnsi="宋体" w:cs="宋体"/>
                <w:bCs/>
                <w:color w:val="auto"/>
                <w:szCs w:val="21"/>
              </w:rPr>
              <w:t>三级</w:t>
            </w:r>
          </w:p>
        </w:tc>
        <w:tc>
          <w:tcPr>
            <w:tcW w:w="2271" w:type="dxa"/>
            <w:vAlign w:val="center"/>
          </w:tcPr>
          <w:p>
            <w:pPr>
              <w:keepNext w:val="0"/>
              <w:keepLines w:val="0"/>
              <w:suppressLineNumbers w:val="0"/>
              <w:spacing w:before="0" w:beforeAutospacing="0" w:after="0" w:afterAutospacing="0" w:line="480" w:lineRule="exact"/>
              <w:ind w:left="0" w:right="0" w:firstLine="482"/>
              <w:rPr>
                <w:rFonts w:ascii="宋体" w:hAnsi="宋体" w:cs="宋体"/>
                <w:bCs/>
                <w:color w:val="auto"/>
                <w:szCs w:val="21"/>
              </w:rPr>
            </w:pPr>
          </w:p>
        </w:tc>
      </w:tr>
    </w:tbl>
    <w:p>
      <w:pPr>
        <w:spacing w:line="480" w:lineRule="exact"/>
        <w:ind w:firstLine="482"/>
        <w:rPr>
          <w:rFonts w:ascii="宋体" w:hAnsi="宋体" w:cs="宋体"/>
          <w:b/>
          <w:color w:val="auto"/>
        </w:rPr>
      </w:pPr>
      <w:bookmarkStart w:id="15" w:name="_Toc294777273"/>
      <w:bookmarkStart w:id="16" w:name="_Toc44515533"/>
      <w:bookmarkStart w:id="17" w:name="_Toc10221475"/>
      <w:bookmarkStart w:id="18" w:name="_Toc11791068"/>
      <w:bookmarkStart w:id="19" w:name="_Toc207942213"/>
      <w:r>
        <w:rPr>
          <w:rFonts w:hint="eastAsia" w:ascii="宋体" w:hAnsi="宋体" w:cs="宋体"/>
          <w:b/>
          <w:color w:val="auto"/>
        </w:rPr>
        <w:t>五、服务要求</w:t>
      </w:r>
      <w:bookmarkEnd w:id="15"/>
      <w:bookmarkEnd w:id="16"/>
      <w:bookmarkEnd w:id="17"/>
      <w:bookmarkEnd w:id="18"/>
      <w:bookmarkEnd w:id="19"/>
    </w:p>
    <w:p>
      <w:pPr>
        <w:spacing w:line="480" w:lineRule="exact"/>
        <w:ind w:firstLine="482"/>
        <w:rPr>
          <w:rFonts w:ascii="宋体" w:hAnsi="宋体" w:cs="宋体"/>
          <w:bCs/>
          <w:color w:val="auto"/>
          <w:szCs w:val="21"/>
        </w:rPr>
      </w:pPr>
      <w:r>
        <w:rPr>
          <w:rFonts w:hint="eastAsia" w:ascii="宋体" w:hAnsi="宋体" w:cs="宋体"/>
          <w:bCs/>
          <w:color w:val="auto"/>
          <w:szCs w:val="21"/>
        </w:rPr>
        <w:t>依据国家等级保护相关标准《信息安全技术 网络安全等级保护基本要求》（GB/T 22239-2019，以《信息安全技术 网络安全等级保护测评要求》（GB/T 28448-2019）为基础，结合ISO/IEC 27001、ISO/IEC 20000、ISO 22301、ITIL和ITSS等行业最佳实践对</w:t>
      </w:r>
      <w:r>
        <w:rPr>
          <w:rFonts w:hint="eastAsia" w:ascii="宋体" w:hAnsi="宋体" w:cs="宋体"/>
          <w:color w:val="auto"/>
          <w:szCs w:val="22"/>
        </w:rPr>
        <w:t>淮北市公共资源交易中心信息</w:t>
      </w:r>
      <w:r>
        <w:rPr>
          <w:rFonts w:hint="eastAsia" w:ascii="宋体" w:hAnsi="宋体" w:cs="宋体"/>
          <w:bCs/>
          <w:color w:val="auto"/>
          <w:szCs w:val="21"/>
        </w:rPr>
        <w:t>系统进行定级备案和等级保护测评，内容具体包括:</w:t>
      </w:r>
    </w:p>
    <w:p>
      <w:pPr>
        <w:spacing w:line="480" w:lineRule="exact"/>
        <w:ind w:firstLine="482"/>
        <w:rPr>
          <w:rFonts w:ascii="宋体" w:hAnsi="宋体" w:cs="宋体"/>
          <w:bCs/>
          <w:color w:val="auto"/>
          <w:szCs w:val="21"/>
        </w:rPr>
      </w:pPr>
      <w:r>
        <w:rPr>
          <w:rFonts w:hint="eastAsia" w:ascii="宋体" w:hAnsi="宋体" w:cs="宋体"/>
          <w:bCs/>
          <w:color w:val="auto"/>
          <w:szCs w:val="21"/>
        </w:rPr>
        <w:t>1、协助定级备案</w:t>
      </w:r>
    </w:p>
    <w:p>
      <w:pPr>
        <w:spacing w:line="480" w:lineRule="exact"/>
        <w:ind w:firstLine="482"/>
        <w:rPr>
          <w:rFonts w:ascii="宋体" w:hAnsi="宋体" w:cs="宋体"/>
          <w:bCs/>
          <w:color w:val="auto"/>
          <w:szCs w:val="21"/>
        </w:rPr>
      </w:pPr>
      <w:r>
        <w:rPr>
          <w:rFonts w:hint="eastAsia" w:ascii="宋体" w:hAnsi="宋体" w:cs="宋体"/>
          <w:bCs/>
          <w:color w:val="auto"/>
          <w:szCs w:val="21"/>
        </w:rPr>
        <w:t>协助我方在公安系统网安部门（或者网络安全主管部门）完成系统定级备案工作，交付定级报告、专家评审意见表和备案表等内容，并协助我方取得相应系统的备案证明。</w:t>
      </w:r>
    </w:p>
    <w:p>
      <w:pPr>
        <w:spacing w:line="480" w:lineRule="exact"/>
        <w:ind w:firstLine="482"/>
        <w:rPr>
          <w:rFonts w:ascii="宋体" w:hAnsi="宋体" w:cs="宋体"/>
          <w:bCs/>
          <w:color w:val="auto"/>
          <w:szCs w:val="21"/>
        </w:rPr>
      </w:pPr>
      <w:r>
        <w:rPr>
          <w:rFonts w:hint="eastAsia" w:ascii="宋体" w:hAnsi="宋体" w:cs="宋体"/>
          <w:bCs/>
          <w:color w:val="auto"/>
          <w:szCs w:val="21"/>
        </w:rPr>
        <w:t>2、安全技术测评：包括物理安全、网络安全、主机系统安全、应用安全和数据安全等五个方面的安全测评。</w:t>
      </w:r>
    </w:p>
    <w:p>
      <w:pPr>
        <w:spacing w:line="480" w:lineRule="exact"/>
        <w:ind w:firstLine="482"/>
        <w:rPr>
          <w:rFonts w:ascii="宋体" w:hAnsi="宋体" w:cs="宋体"/>
          <w:bCs/>
          <w:color w:val="auto"/>
          <w:szCs w:val="21"/>
        </w:rPr>
      </w:pPr>
      <w:r>
        <w:rPr>
          <w:rFonts w:hint="eastAsia" w:ascii="宋体" w:hAnsi="宋体" w:cs="宋体"/>
          <w:bCs/>
          <w:color w:val="auto"/>
          <w:szCs w:val="21"/>
        </w:rPr>
        <w:t>3、安全管理测评：包括安全管理机构、安全管理制度、人员安全管理、系统建设管理和系统运维管理等五个方面的安全测评。</w:t>
      </w:r>
    </w:p>
    <w:p>
      <w:pPr>
        <w:spacing w:line="480" w:lineRule="exact"/>
        <w:ind w:firstLine="482"/>
        <w:rPr>
          <w:rFonts w:ascii="宋体" w:hAnsi="宋体" w:cs="宋体"/>
          <w:bCs/>
          <w:color w:val="auto"/>
          <w:szCs w:val="21"/>
        </w:rPr>
      </w:pPr>
      <w:r>
        <w:rPr>
          <w:rFonts w:hint="eastAsia" w:ascii="宋体" w:hAnsi="宋体" w:cs="宋体"/>
          <w:bCs/>
          <w:color w:val="auto"/>
          <w:szCs w:val="21"/>
        </w:rPr>
        <w:t>4、形成差距分析报告：依据测评结果和《信息系统安全等级保护基本要求》（GB /T 22239-2019），结合ISO/IEC 27001、ISO/IEC 20000、ISO 22301、ITIL和ITSS等行业最佳实践，从信息系统是否具备标准所要求的安全保护设施、安全设施的策略是否达到标准的要求、安全策略是否达到保护的效果三个方面开展差距测评工作。</w:t>
      </w:r>
    </w:p>
    <w:p>
      <w:pPr>
        <w:spacing w:line="480" w:lineRule="exact"/>
        <w:ind w:firstLine="482"/>
        <w:rPr>
          <w:rFonts w:ascii="宋体" w:hAnsi="宋体" w:cs="宋体"/>
          <w:bCs/>
          <w:color w:val="auto"/>
          <w:szCs w:val="21"/>
        </w:rPr>
      </w:pPr>
      <w:r>
        <w:rPr>
          <w:rFonts w:hint="eastAsia" w:ascii="宋体" w:hAnsi="宋体" w:cs="宋体"/>
          <w:bCs/>
          <w:color w:val="auto"/>
          <w:szCs w:val="21"/>
        </w:rPr>
        <w:t>5、编制测评报告：完成上述测评工作和整改实施后，最后出具符合公安机关要求的网络安全等级保护测评报告。</w:t>
      </w:r>
    </w:p>
    <w:p>
      <w:pPr>
        <w:spacing w:line="480" w:lineRule="exact"/>
        <w:ind w:firstLine="482"/>
        <w:rPr>
          <w:rFonts w:ascii="宋体" w:hAnsi="宋体" w:cs="宋体"/>
          <w:bCs/>
          <w:color w:val="auto"/>
          <w:szCs w:val="21"/>
        </w:rPr>
      </w:pPr>
      <w:r>
        <w:rPr>
          <w:rFonts w:hint="eastAsia" w:ascii="宋体" w:hAnsi="宋体" w:cs="宋体"/>
          <w:bCs/>
          <w:color w:val="auto"/>
          <w:szCs w:val="21"/>
        </w:rPr>
        <w:t>6、编制和完善安全管理制度：依据测评标准，对涉及到安全管理差距部分的整改，由成交供应商协助采购人制订和完善各项安全管理制度。</w:t>
      </w:r>
    </w:p>
    <w:p>
      <w:pPr>
        <w:spacing w:line="480" w:lineRule="exact"/>
        <w:ind w:firstLine="482"/>
        <w:rPr>
          <w:rFonts w:ascii="宋体" w:hAnsi="宋体" w:cs="宋体"/>
          <w:bCs/>
          <w:color w:val="auto"/>
          <w:szCs w:val="21"/>
        </w:rPr>
      </w:pPr>
      <w:r>
        <w:rPr>
          <w:rFonts w:hint="eastAsia" w:ascii="宋体" w:hAnsi="宋体" w:cs="宋体"/>
          <w:bCs/>
          <w:color w:val="auto"/>
          <w:szCs w:val="21"/>
        </w:rPr>
        <w:t>7、协助等级保护整改：根据整改建议书中的建议，由成交供应商协助采购人完成三级等保测评整改工作。整改完成后，成交供应商再次对</w:t>
      </w:r>
      <w:r>
        <w:rPr>
          <w:rFonts w:hint="eastAsia" w:ascii="宋体" w:hAnsi="宋体" w:cs="宋体"/>
          <w:color w:val="auto"/>
          <w:szCs w:val="22"/>
        </w:rPr>
        <w:t>市公共资源交易中心信息</w:t>
      </w:r>
      <w:r>
        <w:rPr>
          <w:rFonts w:hint="eastAsia" w:ascii="宋体" w:hAnsi="宋体" w:cs="宋体"/>
          <w:bCs/>
          <w:color w:val="auto"/>
          <w:szCs w:val="21"/>
        </w:rPr>
        <w:t>系统项目进行三级等保测评，以验证整改有效性。</w:t>
      </w:r>
    </w:p>
    <w:p>
      <w:pPr>
        <w:spacing w:line="480" w:lineRule="exact"/>
        <w:ind w:firstLine="482"/>
        <w:rPr>
          <w:rFonts w:ascii="宋体" w:hAnsi="宋体" w:cs="宋体"/>
          <w:bCs/>
          <w:color w:val="auto"/>
          <w:szCs w:val="21"/>
        </w:rPr>
      </w:pPr>
      <w:r>
        <w:rPr>
          <w:rFonts w:hint="eastAsia" w:ascii="宋体" w:hAnsi="宋体" w:cs="宋体"/>
          <w:bCs/>
          <w:color w:val="auto"/>
          <w:szCs w:val="21"/>
        </w:rPr>
        <w:t>8、形成等级测评结论及测评报告提交：完成上述三级等保测评工作和整改后，由成交供应商出具符合公安机关要求的《等级保护测评报告》并报市公安局网安支队。</w:t>
      </w:r>
    </w:p>
    <w:p>
      <w:pPr>
        <w:spacing w:line="480" w:lineRule="exact"/>
        <w:ind w:firstLine="482"/>
        <w:rPr>
          <w:rFonts w:ascii="宋体" w:hAnsi="宋体" w:cs="宋体"/>
          <w:b/>
          <w:color w:val="auto"/>
        </w:rPr>
      </w:pPr>
      <w:r>
        <w:rPr>
          <w:rFonts w:hint="eastAsia" w:ascii="宋体" w:hAnsi="宋体" w:cs="宋体"/>
          <w:b/>
          <w:color w:val="auto"/>
        </w:rPr>
        <w:t>六、评测时间要求</w:t>
      </w:r>
    </w:p>
    <w:p>
      <w:pPr>
        <w:spacing w:line="480" w:lineRule="exact"/>
        <w:ind w:firstLine="482"/>
        <w:rPr>
          <w:rFonts w:ascii="宋体" w:hAnsi="宋体" w:cs="宋体"/>
          <w:bCs/>
          <w:color w:val="auto"/>
          <w:szCs w:val="21"/>
        </w:rPr>
      </w:pPr>
      <w:r>
        <w:rPr>
          <w:rFonts w:hint="eastAsia" w:ascii="宋体" w:hAnsi="宋体" w:cs="宋体"/>
          <w:bCs/>
          <w:color w:val="auto"/>
          <w:szCs w:val="21"/>
          <w:lang w:eastAsia="zh-CN"/>
        </w:rPr>
        <w:t>在</w:t>
      </w:r>
      <w:r>
        <w:rPr>
          <w:rFonts w:hint="eastAsia" w:ascii="宋体" w:hAnsi="宋体" w:cs="宋体"/>
          <w:bCs/>
          <w:color w:val="auto"/>
          <w:szCs w:val="21"/>
        </w:rPr>
        <w:t>合同签署且具备测试条件后40个工作日内完成评测工作（问题整改时间除外）。</w:t>
      </w:r>
    </w:p>
    <w:p>
      <w:pPr>
        <w:spacing w:line="480" w:lineRule="exact"/>
        <w:ind w:firstLine="482"/>
        <w:rPr>
          <w:rFonts w:ascii="宋体" w:hAnsi="宋体" w:cs="宋体"/>
          <w:b/>
          <w:color w:val="auto"/>
        </w:rPr>
      </w:pPr>
      <w:r>
        <w:rPr>
          <w:rFonts w:hint="eastAsia" w:ascii="宋体" w:hAnsi="宋体" w:cs="宋体"/>
          <w:b/>
          <w:color w:val="auto"/>
        </w:rPr>
        <w:t>七、测评服务交付</w:t>
      </w:r>
    </w:p>
    <w:tbl>
      <w:tblPr>
        <w:tblStyle w:val="50"/>
        <w:tblW w:w="907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708"/>
        <w:gridCol w:w="536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3168" w:type="dxa"/>
            <w:tcBorders>
              <w:top w:val="single" w:color="auto" w:sz="4" w:space="0"/>
              <w:left w:val="single" w:color="auto" w:sz="4" w:space="0"/>
              <w:bottom w:val="single" w:color="auto" w:sz="6" w:space="0"/>
              <w:right w:val="single" w:color="auto" w:sz="6" w:space="0"/>
            </w:tcBorders>
            <w:shd w:val="clear" w:color="auto" w:fill="F2F2F2"/>
            <w:vAlign w:val="center"/>
          </w:tcPr>
          <w:p>
            <w:pPr>
              <w:keepNext w:val="0"/>
              <w:keepLines w:val="0"/>
              <w:suppressLineNumbers w:val="0"/>
              <w:spacing w:before="0" w:beforeAutospacing="0" w:after="0" w:afterAutospacing="0" w:line="480" w:lineRule="exact"/>
              <w:ind w:left="0" w:right="0" w:firstLine="482"/>
              <w:rPr>
                <w:rFonts w:ascii="宋体" w:hAnsi="宋体" w:cs="宋体"/>
                <w:bCs/>
                <w:color w:val="auto"/>
                <w:szCs w:val="21"/>
              </w:rPr>
            </w:pPr>
            <w:r>
              <w:rPr>
                <w:rFonts w:hint="eastAsia" w:ascii="宋体" w:hAnsi="宋体" w:cs="宋体"/>
                <w:bCs/>
                <w:color w:val="auto"/>
                <w:szCs w:val="21"/>
              </w:rPr>
              <w:t>时间段</w:t>
            </w:r>
          </w:p>
        </w:tc>
        <w:tc>
          <w:tcPr>
            <w:tcW w:w="4583" w:type="dxa"/>
            <w:tcBorders>
              <w:top w:val="single" w:color="auto" w:sz="4" w:space="0"/>
              <w:left w:val="single" w:color="auto" w:sz="6" w:space="0"/>
              <w:bottom w:val="single" w:color="auto" w:sz="6" w:space="0"/>
              <w:right w:val="single" w:color="auto" w:sz="4" w:space="0"/>
            </w:tcBorders>
            <w:shd w:val="clear" w:color="auto" w:fill="F2F2F2"/>
            <w:vAlign w:val="center"/>
          </w:tcPr>
          <w:p>
            <w:pPr>
              <w:keepNext w:val="0"/>
              <w:keepLines w:val="0"/>
              <w:suppressLineNumbers w:val="0"/>
              <w:spacing w:before="0" w:beforeAutospacing="0" w:after="0" w:afterAutospacing="0" w:line="480" w:lineRule="exact"/>
              <w:ind w:left="0" w:right="0" w:firstLine="482"/>
              <w:rPr>
                <w:rFonts w:ascii="宋体" w:hAnsi="宋体" w:cs="宋体"/>
                <w:bCs/>
                <w:color w:val="auto"/>
                <w:szCs w:val="21"/>
              </w:rPr>
            </w:pPr>
            <w:r>
              <w:rPr>
                <w:rFonts w:hint="eastAsia" w:ascii="宋体" w:hAnsi="宋体" w:cs="宋体"/>
                <w:bCs/>
                <w:color w:val="auto"/>
                <w:szCs w:val="21"/>
              </w:rPr>
              <w:t>提交文档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3168"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480" w:lineRule="exact"/>
              <w:ind w:left="0" w:right="0" w:firstLine="482"/>
              <w:rPr>
                <w:rFonts w:ascii="宋体" w:hAnsi="宋体" w:cs="宋体"/>
                <w:bCs/>
                <w:color w:val="auto"/>
                <w:szCs w:val="21"/>
              </w:rPr>
            </w:pPr>
            <w:r>
              <w:rPr>
                <w:rFonts w:hint="eastAsia" w:ascii="宋体" w:hAnsi="宋体" w:cs="宋体"/>
                <w:bCs/>
                <w:color w:val="auto"/>
                <w:szCs w:val="21"/>
              </w:rPr>
              <w:t>签订合同后</w:t>
            </w:r>
          </w:p>
        </w:tc>
        <w:tc>
          <w:tcPr>
            <w:tcW w:w="4583"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480" w:lineRule="exact"/>
              <w:ind w:left="0" w:right="0" w:firstLine="482"/>
              <w:rPr>
                <w:rFonts w:ascii="宋体" w:hAnsi="宋体" w:cs="宋体"/>
                <w:bCs/>
                <w:color w:val="auto"/>
                <w:szCs w:val="21"/>
              </w:rPr>
            </w:pPr>
            <w:r>
              <w:rPr>
                <w:rFonts w:hint="eastAsia" w:ascii="宋体" w:hAnsi="宋体" w:cs="宋体"/>
                <w:bCs/>
                <w:color w:val="auto"/>
                <w:szCs w:val="21"/>
              </w:rPr>
              <w:t>《测评服务技术方案》</w:t>
            </w:r>
          </w:p>
          <w:p>
            <w:pPr>
              <w:keepNext w:val="0"/>
              <w:keepLines w:val="0"/>
              <w:suppressLineNumbers w:val="0"/>
              <w:spacing w:before="0" w:beforeAutospacing="0" w:after="0" w:afterAutospacing="0" w:line="480" w:lineRule="exact"/>
              <w:ind w:left="0" w:right="0" w:firstLine="482"/>
              <w:rPr>
                <w:rFonts w:ascii="宋体" w:hAnsi="宋体" w:cs="宋体"/>
                <w:bCs/>
                <w:color w:val="auto"/>
                <w:szCs w:val="21"/>
              </w:rPr>
            </w:pPr>
            <w:r>
              <w:rPr>
                <w:rFonts w:hint="eastAsia" w:ascii="宋体" w:hAnsi="宋体" w:cs="宋体"/>
                <w:bCs/>
                <w:color w:val="auto"/>
                <w:szCs w:val="21"/>
              </w:rPr>
              <w:t>《测评服务工作计划表》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3168"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480" w:lineRule="exact"/>
              <w:ind w:left="0" w:right="0" w:firstLine="482"/>
              <w:rPr>
                <w:rFonts w:ascii="宋体" w:hAnsi="宋体" w:cs="宋体"/>
                <w:bCs/>
                <w:color w:val="auto"/>
                <w:szCs w:val="21"/>
              </w:rPr>
            </w:pPr>
            <w:r>
              <w:rPr>
                <w:rFonts w:hint="eastAsia" w:ascii="宋体" w:hAnsi="宋体" w:cs="宋体"/>
                <w:bCs/>
                <w:color w:val="auto"/>
                <w:szCs w:val="21"/>
              </w:rPr>
              <w:t>差距测评阶段</w:t>
            </w:r>
          </w:p>
        </w:tc>
        <w:tc>
          <w:tcPr>
            <w:tcW w:w="4583"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480" w:lineRule="exact"/>
              <w:ind w:left="0" w:right="0" w:firstLine="482"/>
              <w:rPr>
                <w:rFonts w:ascii="宋体" w:hAnsi="宋体" w:cs="宋体"/>
                <w:bCs/>
                <w:color w:val="auto"/>
                <w:szCs w:val="21"/>
              </w:rPr>
            </w:pPr>
            <w:r>
              <w:rPr>
                <w:rFonts w:hint="eastAsia" w:ascii="宋体" w:hAnsi="宋体" w:cs="宋体"/>
                <w:bCs/>
                <w:color w:val="auto"/>
                <w:szCs w:val="21"/>
              </w:rPr>
              <w:t>《等级保护差距分析报告》</w:t>
            </w:r>
          </w:p>
          <w:p>
            <w:pPr>
              <w:keepNext w:val="0"/>
              <w:keepLines w:val="0"/>
              <w:suppressLineNumbers w:val="0"/>
              <w:spacing w:before="0" w:beforeAutospacing="0" w:after="0" w:afterAutospacing="0" w:line="480" w:lineRule="exact"/>
              <w:ind w:left="0" w:right="0" w:firstLine="482"/>
              <w:rPr>
                <w:rFonts w:ascii="宋体" w:hAnsi="宋体" w:cs="宋体"/>
                <w:bCs/>
                <w:color w:val="auto"/>
                <w:szCs w:val="21"/>
              </w:rPr>
            </w:pPr>
            <w:r>
              <w:rPr>
                <w:rFonts w:hint="eastAsia" w:ascii="宋体" w:hAnsi="宋体" w:cs="宋体"/>
                <w:bCs/>
                <w:color w:val="auto"/>
                <w:szCs w:val="21"/>
              </w:rPr>
              <w:t>《整改建议书》</w:t>
            </w:r>
          </w:p>
          <w:p>
            <w:pPr>
              <w:keepNext w:val="0"/>
              <w:keepLines w:val="0"/>
              <w:suppressLineNumbers w:val="0"/>
              <w:spacing w:before="0" w:beforeAutospacing="0" w:after="0" w:afterAutospacing="0" w:line="480" w:lineRule="exact"/>
              <w:ind w:left="0" w:right="0" w:firstLine="482"/>
              <w:rPr>
                <w:rFonts w:ascii="宋体" w:hAnsi="宋体" w:cs="宋体"/>
                <w:bCs/>
                <w:color w:val="auto"/>
                <w:szCs w:val="21"/>
              </w:rPr>
            </w:pPr>
            <w:r>
              <w:rPr>
                <w:rFonts w:hint="eastAsia" w:ascii="宋体" w:hAnsi="宋体" w:cs="宋体"/>
                <w:bCs/>
                <w:color w:val="auto"/>
                <w:szCs w:val="21"/>
              </w:rPr>
              <w:t>符合等级保护要求的各项信息安全管理制度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3168" w:type="dxa"/>
            <w:tcBorders>
              <w:top w:val="single" w:color="auto" w:sz="6"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line="480" w:lineRule="exact"/>
              <w:ind w:left="0" w:right="0" w:firstLine="482"/>
              <w:rPr>
                <w:rFonts w:ascii="宋体" w:hAnsi="宋体" w:cs="宋体"/>
                <w:bCs/>
                <w:color w:val="auto"/>
                <w:szCs w:val="21"/>
              </w:rPr>
            </w:pPr>
            <w:r>
              <w:rPr>
                <w:rFonts w:hint="eastAsia" w:ascii="宋体" w:hAnsi="宋体" w:cs="宋体"/>
                <w:bCs/>
                <w:color w:val="auto"/>
                <w:szCs w:val="21"/>
              </w:rPr>
              <w:t>等保测评验收</w:t>
            </w:r>
          </w:p>
        </w:tc>
        <w:tc>
          <w:tcPr>
            <w:tcW w:w="4583" w:type="dxa"/>
            <w:tcBorders>
              <w:top w:val="single" w:color="auto" w:sz="6"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firstLine="482"/>
              <w:rPr>
                <w:rFonts w:ascii="宋体" w:hAnsi="宋体" w:cs="宋体"/>
                <w:bCs/>
                <w:color w:val="auto"/>
                <w:szCs w:val="21"/>
              </w:rPr>
            </w:pPr>
            <w:r>
              <w:rPr>
                <w:rFonts w:hint="eastAsia" w:ascii="宋体" w:hAnsi="宋体" w:cs="宋体"/>
                <w:bCs/>
                <w:color w:val="auto"/>
                <w:szCs w:val="21"/>
              </w:rPr>
              <w:t>符合公安机关要求的《等级保护测评报告》</w:t>
            </w:r>
          </w:p>
        </w:tc>
      </w:tr>
    </w:tbl>
    <w:p>
      <w:pPr>
        <w:spacing w:line="480" w:lineRule="exact"/>
        <w:ind w:firstLine="482"/>
        <w:rPr>
          <w:rFonts w:ascii="宋体" w:hAnsi="宋体" w:cs="宋体"/>
          <w:b/>
          <w:color w:val="auto"/>
        </w:rPr>
      </w:pPr>
      <w:r>
        <w:rPr>
          <w:rFonts w:hint="eastAsia" w:ascii="宋体" w:hAnsi="宋体" w:cs="宋体"/>
          <w:b/>
          <w:color w:val="auto"/>
        </w:rPr>
        <w:t>八、测评原则</w:t>
      </w:r>
    </w:p>
    <w:p>
      <w:pPr>
        <w:spacing w:line="480" w:lineRule="exact"/>
        <w:ind w:firstLine="482"/>
        <w:rPr>
          <w:rFonts w:ascii="宋体" w:hAnsi="宋体" w:cs="宋体"/>
          <w:bCs/>
          <w:color w:val="auto"/>
          <w:szCs w:val="21"/>
        </w:rPr>
      </w:pPr>
      <w:r>
        <w:rPr>
          <w:rFonts w:hint="eastAsia" w:ascii="宋体" w:hAnsi="宋体" w:cs="宋体"/>
          <w:bCs/>
          <w:color w:val="auto"/>
          <w:szCs w:val="21"/>
        </w:rPr>
        <w:t>本次信息安全等级保护测评实施方案设计与具体实施应满足以下原则：</w:t>
      </w:r>
    </w:p>
    <w:p>
      <w:pPr>
        <w:spacing w:line="480" w:lineRule="exact"/>
        <w:ind w:firstLine="482"/>
        <w:rPr>
          <w:rFonts w:ascii="宋体" w:hAnsi="宋体" w:cs="宋体"/>
          <w:bCs/>
          <w:color w:val="auto"/>
          <w:szCs w:val="21"/>
        </w:rPr>
      </w:pPr>
      <w:r>
        <w:rPr>
          <w:rFonts w:hint="eastAsia" w:ascii="宋体" w:hAnsi="宋体" w:cs="宋体"/>
          <w:bCs/>
          <w:color w:val="auto"/>
          <w:szCs w:val="21"/>
        </w:rPr>
        <w:t>1、标准性原则</w:t>
      </w:r>
    </w:p>
    <w:p>
      <w:pPr>
        <w:spacing w:line="480" w:lineRule="exact"/>
        <w:ind w:firstLine="482"/>
        <w:rPr>
          <w:rFonts w:ascii="宋体" w:hAnsi="宋体" w:cs="宋体"/>
          <w:bCs/>
          <w:color w:val="auto"/>
          <w:szCs w:val="21"/>
        </w:rPr>
      </w:pPr>
      <w:r>
        <w:rPr>
          <w:rFonts w:hint="eastAsia" w:ascii="宋体" w:hAnsi="宋体" w:cs="宋体"/>
          <w:bCs/>
          <w:color w:val="auto"/>
          <w:szCs w:val="21"/>
        </w:rPr>
        <w:t>测评方案的设计与实施应依据国家等级保护的相关标准进行。</w:t>
      </w:r>
    </w:p>
    <w:p>
      <w:pPr>
        <w:spacing w:line="480" w:lineRule="exact"/>
        <w:ind w:firstLine="482"/>
        <w:rPr>
          <w:rFonts w:ascii="宋体" w:hAnsi="宋体" w:cs="宋体"/>
          <w:bCs/>
          <w:color w:val="auto"/>
          <w:szCs w:val="21"/>
        </w:rPr>
      </w:pPr>
      <w:r>
        <w:rPr>
          <w:rFonts w:hint="eastAsia" w:ascii="宋体" w:hAnsi="宋体" w:cs="宋体"/>
          <w:bCs/>
          <w:color w:val="auto"/>
          <w:szCs w:val="21"/>
        </w:rPr>
        <w:t>2、可控性原则</w:t>
      </w:r>
    </w:p>
    <w:p>
      <w:pPr>
        <w:spacing w:line="480" w:lineRule="exact"/>
        <w:ind w:firstLine="482"/>
        <w:rPr>
          <w:rFonts w:ascii="宋体" w:hAnsi="宋体" w:cs="宋体"/>
          <w:bCs/>
          <w:color w:val="auto"/>
          <w:szCs w:val="21"/>
        </w:rPr>
      </w:pPr>
      <w:r>
        <w:rPr>
          <w:rFonts w:hint="eastAsia" w:ascii="宋体" w:hAnsi="宋体" w:cs="宋体"/>
          <w:bCs/>
          <w:color w:val="auto"/>
          <w:szCs w:val="21"/>
        </w:rPr>
        <w:t>测评服务的进度要跟上进度表的安排，保证采购人对于测评工作的可控性。</w:t>
      </w:r>
    </w:p>
    <w:p>
      <w:pPr>
        <w:spacing w:line="480" w:lineRule="exact"/>
        <w:ind w:firstLine="482"/>
        <w:rPr>
          <w:rFonts w:ascii="宋体" w:hAnsi="宋体" w:cs="宋体"/>
          <w:bCs/>
          <w:color w:val="auto"/>
          <w:szCs w:val="21"/>
        </w:rPr>
      </w:pPr>
      <w:r>
        <w:rPr>
          <w:rFonts w:hint="eastAsia" w:ascii="宋体" w:hAnsi="宋体" w:cs="宋体"/>
          <w:bCs/>
          <w:color w:val="auto"/>
          <w:szCs w:val="21"/>
        </w:rPr>
        <w:t>3、整体性原则</w:t>
      </w:r>
    </w:p>
    <w:p>
      <w:pPr>
        <w:spacing w:line="480" w:lineRule="exact"/>
        <w:ind w:firstLine="482"/>
        <w:rPr>
          <w:rFonts w:ascii="宋体" w:hAnsi="宋体" w:cs="宋体"/>
          <w:bCs/>
          <w:color w:val="auto"/>
          <w:szCs w:val="21"/>
        </w:rPr>
      </w:pPr>
      <w:r>
        <w:rPr>
          <w:rFonts w:hint="eastAsia" w:ascii="宋体" w:hAnsi="宋体" w:cs="宋体"/>
          <w:bCs/>
          <w:color w:val="auto"/>
          <w:szCs w:val="21"/>
        </w:rPr>
        <w:t>测评的范围和内容应当整体全面，包括国家等级保护相关要求涉及的各个层面。</w:t>
      </w:r>
    </w:p>
    <w:p>
      <w:pPr>
        <w:spacing w:line="480" w:lineRule="exact"/>
        <w:ind w:firstLine="482"/>
        <w:rPr>
          <w:rFonts w:ascii="宋体" w:hAnsi="宋体" w:cs="宋体"/>
          <w:bCs/>
          <w:color w:val="auto"/>
          <w:szCs w:val="21"/>
        </w:rPr>
      </w:pPr>
      <w:r>
        <w:rPr>
          <w:rFonts w:hint="eastAsia" w:ascii="宋体" w:hAnsi="宋体" w:cs="宋体"/>
          <w:bCs/>
          <w:color w:val="auto"/>
          <w:szCs w:val="21"/>
        </w:rPr>
        <w:t>4、客观性和公正性原则</w:t>
      </w:r>
    </w:p>
    <w:p>
      <w:pPr>
        <w:spacing w:line="480" w:lineRule="exact"/>
        <w:ind w:firstLine="482"/>
        <w:rPr>
          <w:rFonts w:ascii="宋体" w:hAnsi="宋体" w:cs="宋体"/>
          <w:bCs/>
          <w:color w:val="auto"/>
          <w:szCs w:val="21"/>
        </w:rPr>
      </w:pPr>
      <w:r>
        <w:rPr>
          <w:rFonts w:hint="eastAsia" w:ascii="宋体" w:hAnsi="宋体" w:cs="宋体"/>
          <w:bCs/>
          <w:color w:val="auto"/>
          <w:szCs w:val="21"/>
        </w:rPr>
        <w:t>在最小主观判断情形下，按照评估双方相互认可的评估方案，基于明确定义的测评方式和解释，实施评估活动。</w:t>
      </w:r>
    </w:p>
    <w:p>
      <w:pPr>
        <w:spacing w:line="480" w:lineRule="exact"/>
        <w:ind w:firstLine="482"/>
        <w:rPr>
          <w:rFonts w:ascii="宋体" w:hAnsi="宋体" w:cs="宋体"/>
          <w:bCs/>
          <w:color w:val="auto"/>
          <w:szCs w:val="21"/>
        </w:rPr>
      </w:pPr>
      <w:r>
        <w:rPr>
          <w:rFonts w:hint="eastAsia" w:ascii="宋体" w:hAnsi="宋体" w:cs="宋体"/>
          <w:bCs/>
          <w:color w:val="auto"/>
          <w:szCs w:val="21"/>
        </w:rPr>
        <w:t>5、保密原则</w:t>
      </w:r>
    </w:p>
    <w:p>
      <w:pPr>
        <w:spacing w:line="480" w:lineRule="exact"/>
        <w:ind w:firstLine="482"/>
        <w:rPr>
          <w:rFonts w:ascii="宋体" w:hAnsi="宋体" w:cs="宋体"/>
          <w:bCs/>
          <w:color w:val="auto"/>
          <w:szCs w:val="21"/>
        </w:rPr>
      </w:pPr>
      <w:r>
        <w:rPr>
          <w:rFonts w:hint="eastAsia" w:ascii="宋体" w:hAnsi="宋体" w:cs="宋体"/>
          <w:bCs/>
          <w:color w:val="auto"/>
          <w:szCs w:val="21"/>
        </w:rPr>
        <w:t>在测评过程中，需严格遵循保密原则，对服务过程中涉及到的任何用户信息未经允许不向其他任何第三方泄漏，以及不得利用这些信息损害采购人利益。</w:t>
      </w:r>
    </w:p>
    <w:p>
      <w:pPr>
        <w:spacing w:line="480" w:lineRule="exact"/>
        <w:ind w:firstLine="482"/>
        <w:rPr>
          <w:rFonts w:ascii="宋体" w:hAnsi="宋体" w:cs="宋体"/>
          <w:bCs/>
          <w:color w:val="auto"/>
          <w:szCs w:val="21"/>
        </w:rPr>
      </w:pPr>
      <w:r>
        <w:rPr>
          <w:rFonts w:hint="eastAsia" w:ascii="宋体" w:hAnsi="宋体" w:cs="宋体"/>
          <w:bCs/>
          <w:color w:val="auto"/>
          <w:szCs w:val="21"/>
        </w:rPr>
        <w:t>6、互动原则</w:t>
      </w:r>
    </w:p>
    <w:p>
      <w:pPr>
        <w:spacing w:line="480" w:lineRule="exact"/>
        <w:ind w:firstLine="482"/>
        <w:rPr>
          <w:rFonts w:ascii="宋体" w:hAnsi="宋体" w:cs="宋体"/>
          <w:bCs/>
          <w:color w:val="auto"/>
          <w:szCs w:val="21"/>
        </w:rPr>
      </w:pPr>
      <w:r>
        <w:rPr>
          <w:rFonts w:hint="eastAsia" w:ascii="宋体" w:hAnsi="宋体" w:cs="宋体"/>
          <w:bCs/>
          <w:color w:val="auto"/>
          <w:szCs w:val="21"/>
        </w:rPr>
        <w:t>在整个测评过程中，强调采购人的互动参与，每个阶段都能够及时根据采购人的要求和实际情况对测评的内容、方式做出相关调整，进而更好的进行风险评估工作。</w:t>
      </w:r>
    </w:p>
    <w:p>
      <w:pPr>
        <w:spacing w:line="480" w:lineRule="exact"/>
        <w:ind w:firstLine="482"/>
        <w:rPr>
          <w:rFonts w:ascii="宋体" w:hAnsi="宋体" w:cs="宋体"/>
          <w:bCs/>
          <w:color w:val="auto"/>
          <w:szCs w:val="21"/>
        </w:rPr>
      </w:pPr>
      <w:r>
        <w:rPr>
          <w:rFonts w:hint="eastAsia" w:ascii="宋体" w:hAnsi="宋体" w:cs="宋体"/>
          <w:bCs/>
          <w:color w:val="auto"/>
          <w:szCs w:val="21"/>
        </w:rPr>
        <w:t>7、最小影响原则</w:t>
      </w:r>
    </w:p>
    <w:p>
      <w:pPr>
        <w:spacing w:line="480" w:lineRule="exact"/>
        <w:ind w:firstLine="482"/>
        <w:rPr>
          <w:rFonts w:ascii="宋体" w:hAnsi="宋体" w:cs="宋体"/>
          <w:bCs/>
          <w:color w:val="auto"/>
          <w:szCs w:val="21"/>
        </w:rPr>
      </w:pPr>
      <w:r>
        <w:rPr>
          <w:rFonts w:hint="eastAsia" w:ascii="宋体" w:hAnsi="宋体" w:cs="宋体"/>
          <w:bCs/>
          <w:color w:val="auto"/>
          <w:szCs w:val="21"/>
        </w:rPr>
        <w:t>测评工作应该尽可能小地影响</w:t>
      </w:r>
      <w:r>
        <w:rPr>
          <w:rFonts w:hint="eastAsia" w:ascii="宋体" w:hAnsi="宋体" w:cs="宋体"/>
          <w:color w:val="auto"/>
          <w:szCs w:val="22"/>
        </w:rPr>
        <w:t>市公共资源交易中心信息</w:t>
      </w:r>
      <w:r>
        <w:rPr>
          <w:rFonts w:hint="eastAsia" w:ascii="宋体" w:hAnsi="宋体" w:cs="宋体"/>
          <w:bCs/>
          <w:color w:val="auto"/>
          <w:szCs w:val="21"/>
        </w:rPr>
        <w:t>系统项目的正常运行，不能对业务的正常运行产生明显的影响（包括系统性能明显下降、网络阻塞、服务中断等），如无法避免，则应预先做出说明并经采购人同意后实施。</w:t>
      </w:r>
    </w:p>
    <w:p>
      <w:pPr>
        <w:spacing w:line="480" w:lineRule="exact"/>
        <w:ind w:firstLine="482"/>
        <w:rPr>
          <w:rFonts w:ascii="宋体" w:hAnsi="宋体" w:cs="宋体"/>
          <w:bCs/>
          <w:color w:val="auto"/>
          <w:szCs w:val="21"/>
        </w:rPr>
      </w:pPr>
      <w:r>
        <w:rPr>
          <w:rFonts w:hint="eastAsia" w:ascii="宋体" w:hAnsi="宋体" w:cs="宋体"/>
          <w:bCs/>
          <w:color w:val="auto"/>
          <w:szCs w:val="21"/>
        </w:rPr>
        <w:t>8、规范性原则</w:t>
      </w:r>
    </w:p>
    <w:p>
      <w:pPr>
        <w:spacing w:line="480" w:lineRule="exact"/>
        <w:ind w:firstLine="482"/>
        <w:rPr>
          <w:rFonts w:ascii="宋体" w:hAnsi="宋体" w:cs="宋体"/>
          <w:bCs/>
          <w:color w:val="auto"/>
          <w:szCs w:val="21"/>
        </w:rPr>
      </w:pPr>
      <w:r>
        <w:rPr>
          <w:rFonts w:hint="eastAsia" w:ascii="宋体" w:hAnsi="宋体" w:cs="宋体"/>
          <w:bCs/>
          <w:color w:val="auto"/>
          <w:szCs w:val="21"/>
        </w:rPr>
        <w:t>信息安全等级保护测评服务的实施必须由专业的测评服务人员依照规范的操作流程进行，对操作过程和结果要有相应的记录，并提供完整的服务报告。</w:t>
      </w:r>
    </w:p>
    <w:p>
      <w:pPr>
        <w:spacing w:line="480" w:lineRule="exact"/>
        <w:ind w:firstLine="482"/>
        <w:rPr>
          <w:rFonts w:ascii="宋体" w:hAnsi="宋体" w:cs="宋体"/>
          <w:bCs/>
          <w:color w:val="auto"/>
          <w:szCs w:val="21"/>
        </w:rPr>
      </w:pPr>
      <w:r>
        <w:rPr>
          <w:rFonts w:hint="eastAsia" w:ascii="宋体" w:hAnsi="宋体" w:cs="宋体"/>
          <w:bCs/>
          <w:color w:val="auto"/>
          <w:szCs w:val="21"/>
        </w:rPr>
        <w:t>9、质量保障原则</w:t>
      </w:r>
    </w:p>
    <w:p>
      <w:pPr>
        <w:spacing w:line="480" w:lineRule="exact"/>
        <w:ind w:firstLine="482"/>
        <w:rPr>
          <w:rFonts w:ascii="宋体" w:hAnsi="宋体" w:cs="宋体"/>
          <w:bCs/>
          <w:color w:val="auto"/>
          <w:szCs w:val="21"/>
        </w:rPr>
      </w:pPr>
      <w:r>
        <w:rPr>
          <w:rFonts w:hint="eastAsia" w:ascii="宋体" w:hAnsi="宋体" w:cs="宋体"/>
          <w:bCs/>
          <w:color w:val="auto"/>
          <w:szCs w:val="21"/>
        </w:rPr>
        <w:t>在整个测评过程中，须特别重视项目质量管理。项目的实施将严格按照项目实施方案和流程进行，并由项目协调小组从中监督，控制项目的进度和质量。</w:t>
      </w:r>
    </w:p>
    <w:p>
      <w:pPr>
        <w:spacing w:line="480" w:lineRule="exact"/>
        <w:ind w:firstLine="482"/>
        <w:rPr>
          <w:rFonts w:ascii="宋体" w:hAnsi="宋体" w:cs="宋体"/>
          <w:bCs/>
          <w:color w:val="auto"/>
          <w:szCs w:val="21"/>
        </w:rPr>
      </w:pPr>
      <w:r>
        <w:rPr>
          <w:rFonts w:hint="eastAsia" w:ascii="宋体" w:hAnsi="宋体" w:cs="宋体"/>
          <w:bCs/>
          <w:color w:val="auto"/>
          <w:szCs w:val="21"/>
        </w:rPr>
        <w:t>供应商应严格依照上述原则和国家等级保护相关标准开展项目实施工作。</w:t>
      </w:r>
    </w:p>
    <w:p>
      <w:pPr>
        <w:spacing w:line="480" w:lineRule="exact"/>
        <w:ind w:firstLine="482"/>
        <w:rPr>
          <w:rFonts w:ascii="宋体" w:hAnsi="宋体" w:cs="宋体"/>
          <w:b/>
          <w:color w:val="auto"/>
        </w:rPr>
      </w:pPr>
      <w:r>
        <w:rPr>
          <w:rFonts w:hint="eastAsia" w:ascii="宋体" w:hAnsi="宋体" w:cs="宋体"/>
          <w:b/>
          <w:color w:val="auto"/>
        </w:rPr>
        <w:t>九、测评要求</w:t>
      </w:r>
    </w:p>
    <w:p>
      <w:pPr>
        <w:spacing w:line="480" w:lineRule="exact"/>
        <w:ind w:firstLine="482"/>
        <w:rPr>
          <w:rFonts w:ascii="宋体" w:hAnsi="宋体" w:cs="宋体"/>
          <w:bCs/>
          <w:color w:val="auto"/>
          <w:szCs w:val="21"/>
        </w:rPr>
      </w:pPr>
      <w:r>
        <w:rPr>
          <w:rFonts w:hint="eastAsia" w:ascii="宋体" w:hAnsi="宋体" w:cs="宋体"/>
          <w:bCs/>
          <w:color w:val="auto"/>
          <w:szCs w:val="21"/>
        </w:rPr>
        <w:t>1、成交供应商应在对采购人系统详细了解的基础上，编制针对性的等级保护测评整体实施方案，包括项目概述、等保测评范围和内容、项目实施流程、测试过程中需使用测试设备清单、时间安排、阶段性文档提交和验收标准等。</w:t>
      </w:r>
    </w:p>
    <w:p>
      <w:pPr>
        <w:spacing w:line="480" w:lineRule="exact"/>
        <w:ind w:firstLine="482"/>
        <w:rPr>
          <w:rFonts w:ascii="宋体" w:hAnsi="宋体" w:cs="宋体"/>
          <w:bCs/>
          <w:color w:val="auto"/>
          <w:szCs w:val="21"/>
        </w:rPr>
      </w:pPr>
      <w:r>
        <w:rPr>
          <w:rFonts w:hint="eastAsia" w:ascii="宋体" w:hAnsi="宋体" w:cs="宋体"/>
          <w:bCs/>
          <w:color w:val="auto"/>
          <w:szCs w:val="21"/>
        </w:rPr>
        <w:t>2、成交供应商应在测评服务开始前提交测评人员的组成、资质及各自职责的划分，配置有经验的测评人员进行本次等级保护测评工作。</w:t>
      </w:r>
    </w:p>
    <w:p>
      <w:pPr>
        <w:spacing w:line="480" w:lineRule="exact"/>
        <w:ind w:firstLine="482"/>
        <w:rPr>
          <w:rFonts w:ascii="宋体" w:hAnsi="宋体" w:cs="宋体"/>
          <w:bCs/>
          <w:color w:val="auto"/>
          <w:szCs w:val="21"/>
        </w:rPr>
      </w:pPr>
      <w:r>
        <w:rPr>
          <w:rFonts w:hint="eastAsia" w:ascii="宋体" w:hAnsi="宋体" w:cs="宋体"/>
          <w:bCs/>
          <w:color w:val="auto"/>
          <w:szCs w:val="21"/>
        </w:rPr>
        <w:t>3、本次等级保护测评实施过程中所使用到的各种工具软件由成交供应商推荐，经采购人确认后由成交供应商提供并在测评中使用。在投标文件中应详细描述所使用的安全测评工具（软硬件型号、功能和性能描述）、使用的方式和时间、对环境和平台的要求以及使用可能对系统造成的风险等。</w:t>
      </w:r>
    </w:p>
    <w:p>
      <w:pPr>
        <w:spacing w:line="480" w:lineRule="exact"/>
        <w:ind w:firstLine="482"/>
        <w:rPr>
          <w:rFonts w:ascii="宋体" w:hAnsi="宋体" w:cs="宋体"/>
          <w:bCs/>
          <w:color w:val="auto"/>
          <w:szCs w:val="21"/>
        </w:rPr>
      </w:pPr>
      <w:r>
        <w:rPr>
          <w:rFonts w:hint="eastAsia" w:ascii="宋体" w:hAnsi="宋体" w:cs="宋体"/>
          <w:bCs/>
          <w:color w:val="auto"/>
          <w:szCs w:val="21"/>
        </w:rPr>
        <w:t>4、对于在测评过程中采用的测评方法、测评所使用的工具、测评所覆盖的各方面，需要符合信息安全等级保护主管部门要求，包括但不仅仅包括网络隐患检测工具、数据库漏洞检测工具等。</w:t>
      </w:r>
    </w:p>
    <w:p>
      <w:pPr>
        <w:spacing w:line="480" w:lineRule="exact"/>
        <w:ind w:firstLine="482"/>
        <w:rPr>
          <w:rFonts w:ascii="宋体" w:hAnsi="宋体" w:cs="宋体"/>
          <w:bCs/>
          <w:color w:val="auto"/>
          <w:szCs w:val="21"/>
        </w:rPr>
      </w:pPr>
      <w:r>
        <w:rPr>
          <w:rFonts w:hint="eastAsia" w:ascii="宋体" w:hAnsi="宋体" w:cs="宋体"/>
          <w:bCs/>
          <w:color w:val="auto"/>
          <w:szCs w:val="21"/>
        </w:rPr>
        <w:t>5、成交供应商应详细描述需要的运行环境的具体要求。</w:t>
      </w:r>
    </w:p>
    <w:p>
      <w:pPr>
        <w:spacing w:line="480" w:lineRule="exact"/>
        <w:ind w:firstLine="482"/>
        <w:rPr>
          <w:rFonts w:ascii="宋体" w:hAnsi="宋体" w:cs="宋体"/>
          <w:bCs/>
          <w:color w:val="auto"/>
          <w:szCs w:val="21"/>
        </w:rPr>
      </w:pPr>
      <w:r>
        <w:rPr>
          <w:rFonts w:hint="eastAsia" w:ascii="宋体" w:hAnsi="宋体" w:cs="宋体"/>
          <w:bCs/>
          <w:color w:val="auto"/>
          <w:szCs w:val="21"/>
        </w:rPr>
        <w:t>6、项目完成后必须提交完整的技术文档、测评报告、整改建议等。</w:t>
      </w:r>
    </w:p>
    <w:p>
      <w:pPr>
        <w:spacing w:line="480" w:lineRule="exact"/>
        <w:ind w:firstLine="482"/>
        <w:rPr>
          <w:rFonts w:ascii="宋体" w:hAnsi="宋体" w:cs="宋体"/>
          <w:b/>
          <w:color w:val="auto"/>
        </w:rPr>
      </w:pPr>
      <w:r>
        <w:rPr>
          <w:rFonts w:hint="eastAsia" w:ascii="宋体" w:hAnsi="宋体" w:cs="宋体"/>
          <w:b/>
          <w:color w:val="auto"/>
        </w:rPr>
        <w:t>十、实施要求</w:t>
      </w:r>
    </w:p>
    <w:p>
      <w:pPr>
        <w:spacing w:line="480" w:lineRule="exact"/>
        <w:ind w:firstLine="482"/>
        <w:rPr>
          <w:rFonts w:ascii="宋体" w:hAnsi="宋体" w:cs="宋体"/>
          <w:bCs/>
          <w:color w:val="auto"/>
          <w:szCs w:val="21"/>
        </w:rPr>
      </w:pPr>
      <w:r>
        <w:rPr>
          <w:rFonts w:hint="eastAsia" w:ascii="宋体" w:hAnsi="宋体" w:cs="宋体"/>
          <w:bCs/>
          <w:color w:val="auto"/>
          <w:szCs w:val="21"/>
        </w:rPr>
        <w:t>1、成交供应商应保证投标项目在采购人条件成熟时应立即开展实施。</w:t>
      </w:r>
    </w:p>
    <w:p>
      <w:pPr>
        <w:spacing w:line="480" w:lineRule="exact"/>
        <w:ind w:firstLine="482"/>
        <w:rPr>
          <w:rFonts w:ascii="宋体" w:hAnsi="宋体" w:cs="宋体"/>
          <w:bCs/>
          <w:color w:val="auto"/>
          <w:szCs w:val="21"/>
        </w:rPr>
      </w:pPr>
      <w:r>
        <w:rPr>
          <w:rFonts w:hint="eastAsia" w:ascii="宋体" w:hAnsi="宋体" w:cs="宋体"/>
          <w:bCs/>
          <w:color w:val="auto"/>
          <w:szCs w:val="21"/>
        </w:rPr>
        <w:t>2、成交供应商在项目实施过程中应服从采购人的统一领导和协调，且采购人有权裁决成交供应商的责任范围，成交供应商必须执行，在限定的时间内解决问题。如果成交供应商不能按时完成测评内容，则采购人有权中止项目、索赔或拒付款项。</w:t>
      </w:r>
    </w:p>
    <w:p>
      <w:pPr>
        <w:spacing w:line="480" w:lineRule="exact"/>
        <w:ind w:firstLine="482"/>
        <w:rPr>
          <w:rFonts w:ascii="宋体" w:hAnsi="宋体" w:cs="宋体"/>
          <w:bCs/>
          <w:color w:val="auto"/>
          <w:szCs w:val="21"/>
        </w:rPr>
      </w:pPr>
      <w:r>
        <w:rPr>
          <w:rFonts w:hint="eastAsia" w:ascii="宋体" w:hAnsi="宋体" w:cs="宋体"/>
          <w:bCs/>
          <w:color w:val="auto"/>
          <w:szCs w:val="21"/>
        </w:rPr>
        <w:t>3、成交供应商需根据自己的测评实施经验结合采购人的实际需求进一步细化和完善测评方案，作为测评实施的指导性文件。</w:t>
      </w:r>
    </w:p>
    <w:p>
      <w:pPr>
        <w:spacing w:line="480" w:lineRule="exact"/>
        <w:ind w:firstLine="482"/>
        <w:rPr>
          <w:rFonts w:ascii="宋体" w:hAnsi="宋体" w:cs="宋体"/>
          <w:bCs/>
          <w:color w:val="auto"/>
          <w:szCs w:val="21"/>
        </w:rPr>
      </w:pPr>
      <w:r>
        <w:rPr>
          <w:rFonts w:hint="eastAsia" w:ascii="宋体" w:hAnsi="宋体" w:cs="宋体"/>
          <w:bCs/>
          <w:color w:val="auto"/>
          <w:szCs w:val="21"/>
        </w:rPr>
        <w:t>4、成交供应商应根据采购人的工作需求、进度要求、实际情况制定详细的项目实施管理规范和项目实施计划，对测评目标、工作任务、阶段性工作、项目组织机构、职责分工、项目进度、质量控制等内容进行详细的说明，以确保测评实施按时保质的完成。</w:t>
      </w:r>
    </w:p>
    <w:p>
      <w:pPr>
        <w:spacing w:line="480" w:lineRule="exact"/>
        <w:ind w:firstLine="482"/>
        <w:rPr>
          <w:rFonts w:ascii="宋体" w:hAnsi="宋体" w:cs="宋体"/>
          <w:bCs/>
          <w:color w:val="auto"/>
          <w:szCs w:val="21"/>
        </w:rPr>
      </w:pPr>
      <w:r>
        <w:rPr>
          <w:rFonts w:hint="eastAsia" w:ascii="宋体" w:hAnsi="宋体" w:cs="宋体"/>
          <w:bCs/>
          <w:color w:val="auto"/>
          <w:szCs w:val="21"/>
        </w:rPr>
        <w:t>5、成交供应商应负责配合采购人制定相关验收标准，并完成测评实施等验收工作。</w:t>
      </w:r>
    </w:p>
    <w:p>
      <w:pPr>
        <w:spacing w:line="480" w:lineRule="exact"/>
        <w:ind w:firstLine="482"/>
        <w:rPr>
          <w:rFonts w:ascii="宋体" w:hAnsi="宋体" w:cs="宋体"/>
          <w:bCs/>
          <w:color w:val="auto"/>
          <w:szCs w:val="21"/>
        </w:rPr>
      </w:pPr>
      <w:r>
        <w:rPr>
          <w:rFonts w:hint="eastAsia" w:ascii="宋体" w:hAnsi="宋体" w:cs="宋体"/>
          <w:bCs/>
          <w:color w:val="auto"/>
          <w:szCs w:val="21"/>
        </w:rPr>
        <w:t>6、为便于采购人建立一套规范的信息安全管理体系，成交供应商应具备信息安全管理体系认证和信息安全风险评估服务资质。在整改过程中，如需现场服务，成交供应商技术人员应赶到现场协助处理。</w:t>
      </w:r>
    </w:p>
    <w:p>
      <w:pPr>
        <w:spacing w:line="480" w:lineRule="exact"/>
        <w:ind w:firstLine="482"/>
        <w:rPr>
          <w:rFonts w:ascii="宋体" w:hAnsi="宋体" w:cs="宋体"/>
          <w:bCs/>
          <w:color w:val="auto"/>
          <w:szCs w:val="21"/>
        </w:rPr>
      </w:pPr>
      <w:r>
        <w:rPr>
          <w:rFonts w:hint="eastAsia" w:ascii="宋体" w:hAnsi="宋体" w:cs="宋体"/>
          <w:bCs/>
          <w:color w:val="auto"/>
          <w:szCs w:val="21"/>
        </w:rPr>
        <w:t>7、项目验收完成后，要求成交供应商提供为期一年的技术咨询服务，以保证项目正常运行。</w:t>
      </w:r>
    </w:p>
    <w:p>
      <w:pPr>
        <w:spacing w:line="480" w:lineRule="exact"/>
        <w:ind w:firstLine="482"/>
        <w:rPr>
          <w:rFonts w:ascii="宋体" w:hAnsi="宋体" w:cs="宋体"/>
          <w:b/>
          <w:color w:val="auto"/>
        </w:rPr>
      </w:pPr>
      <w:r>
        <w:rPr>
          <w:rFonts w:hint="eastAsia" w:ascii="宋体" w:hAnsi="宋体" w:cs="宋体"/>
          <w:b/>
          <w:color w:val="auto"/>
        </w:rPr>
        <w:t>十一、测评机构及测评人员要求</w:t>
      </w:r>
    </w:p>
    <w:p>
      <w:pPr>
        <w:spacing w:line="480" w:lineRule="exact"/>
        <w:ind w:firstLine="482"/>
        <w:rPr>
          <w:rFonts w:ascii="宋体" w:hAnsi="宋体" w:cs="宋体"/>
          <w:bCs/>
          <w:color w:val="auto"/>
          <w:szCs w:val="21"/>
        </w:rPr>
      </w:pPr>
      <w:r>
        <w:rPr>
          <w:rFonts w:hint="eastAsia" w:ascii="宋体" w:hAnsi="宋体" w:cs="宋体"/>
          <w:bCs/>
          <w:color w:val="auto"/>
          <w:szCs w:val="21"/>
        </w:rPr>
        <w:t>1、成交供应商测评资质要求在中国网络安全等级保护网（http://www.djbh.net）全国等级保护测评机构推荐目录可查。</w:t>
      </w:r>
    </w:p>
    <w:p>
      <w:pPr>
        <w:spacing w:line="480" w:lineRule="exact"/>
        <w:ind w:firstLine="482"/>
        <w:rPr>
          <w:rFonts w:ascii="宋体" w:hAnsi="宋体" w:cs="宋体"/>
          <w:bCs/>
          <w:color w:val="auto"/>
          <w:szCs w:val="21"/>
        </w:rPr>
      </w:pPr>
      <w:r>
        <w:rPr>
          <w:rFonts w:hint="eastAsia" w:ascii="宋体" w:hAnsi="宋体" w:cs="宋体"/>
          <w:bCs/>
          <w:color w:val="auto"/>
          <w:szCs w:val="21"/>
        </w:rPr>
        <w:t>2、成交供应商为本项目成立等级保护测评项目部，由项目经理统一负责，项目经理须具有一定的技术管理知识和经验，能够容易地与客户沟通，能够很好地执行并完成测评服务工作，并能根据一些特殊的情况可以适当增加服务人员，接受用户与采购人的统一管理。</w:t>
      </w:r>
    </w:p>
    <w:p>
      <w:pPr>
        <w:spacing w:line="480" w:lineRule="exact"/>
        <w:ind w:firstLine="482"/>
        <w:rPr>
          <w:rFonts w:ascii="宋体" w:hAnsi="宋体" w:cs="宋体"/>
          <w:bCs/>
          <w:color w:val="auto"/>
          <w:szCs w:val="21"/>
        </w:rPr>
      </w:pPr>
      <w:r>
        <w:rPr>
          <w:rFonts w:hint="eastAsia" w:ascii="宋体" w:hAnsi="宋体" w:cs="宋体"/>
          <w:bCs/>
          <w:color w:val="auto"/>
          <w:szCs w:val="21"/>
        </w:rPr>
        <w:t>3、成交供应商派驻本项目的测评项目经理和测评服务人员必须固定，如有变更，须经采购人同意并签字确认，确保其人员的稳定性。</w:t>
      </w:r>
    </w:p>
    <w:p>
      <w:pPr>
        <w:spacing w:line="480" w:lineRule="exact"/>
        <w:ind w:firstLine="482"/>
        <w:rPr>
          <w:rFonts w:ascii="宋体" w:hAnsi="宋体" w:cs="宋体"/>
          <w:b/>
          <w:color w:val="auto"/>
        </w:rPr>
      </w:pPr>
      <w:r>
        <w:rPr>
          <w:rFonts w:hint="eastAsia" w:ascii="宋体" w:hAnsi="宋体" w:cs="宋体"/>
          <w:b/>
          <w:color w:val="auto"/>
        </w:rPr>
        <w:t>十二、保密要求</w:t>
      </w:r>
    </w:p>
    <w:p>
      <w:pPr>
        <w:spacing w:line="480" w:lineRule="exact"/>
        <w:ind w:firstLine="482"/>
        <w:rPr>
          <w:rFonts w:ascii="宋体" w:hAnsi="宋体" w:cs="宋体"/>
          <w:bCs/>
          <w:color w:val="auto"/>
          <w:szCs w:val="21"/>
        </w:rPr>
      </w:pPr>
      <w:r>
        <w:rPr>
          <w:rFonts w:hint="eastAsia" w:ascii="宋体" w:hAnsi="宋体" w:cs="宋体"/>
          <w:bCs/>
          <w:color w:val="auto"/>
          <w:szCs w:val="21"/>
        </w:rPr>
        <w:t>1、成交供应商必须和采购人签订保密协议和非侵害性协议，成交供应商必须要与参加此次测评项目的所有项目组成员签订保密协议和非侵害性协议，在合同签订时一并提供给采购人。</w:t>
      </w:r>
    </w:p>
    <w:p>
      <w:pPr>
        <w:spacing w:line="480" w:lineRule="exact"/>
        <w:ind w:firstLine="482"/>
        <w:rPr>
          <w:rFonts w:ascii="宋体" w:hAnsi="宋体" w:cs="宋体"/>
          <w:bCs/>
          <w:color w:val="auto"/>
          <w:szCs w:val="21"/>
        </w:rPr>
      </w:pPr>
      <w:r>
        <w:rPr>
          <w:rFonts w:hint="eastAsia" w:ascii="宋体" w:hAnsi="宋体" w:cs="宋体"/>
          <w:bCs/>
          <w:color w:val="auto"/>
          <w:szCs w:val="21"/>
        </w:rPr>
        <w:t>2、成交供应商具体测评工作和等级保护测评报告的编写，必须在采购人指定的地点进行。对于测评中的重要资料和结果，在测评期间和测评结束后，供应商不得带离该地点。</w:t>
      </w:r>
    </w:p>
    <w:p>
      <w:pPr>
        <w:spacing w:line="480" w:lineRule="exact"/>
        <w:ind w:firstLine="482"/>
        <w:rPr>
          <w:rFonts w:ascii="宋体" w:hAnsi="宋体" w:cs="宋体"/>
          <w:bCs/>
          <w:color w:val="auto"/>
          <w:szCs w:val="21"/>
        </w:rPr>
      </w:pPr>
      <w:r>
        <w:rPr>
          <w:rFonts w:hint="eastAsia" w:ascii="宋体" w:hAnsi="宋体" w:cs="宋体"/>
          <w:bCs/>
          <w:color w:val="auto"/>
          <w:szCs w:val="21"/>
        </w:rPr>
        <w:t>3、成交供应商对本规范书中的内容及在应标过程中接触的设备信息、数据资料等负有保密责任，不得泄露给任何第三方。无论成交供应商中标与否，其对上述内容的保密责任将长期存在。</w:t>
      </w:r>
    </w:p>
    <w:p>
      <w:pPr>
        <w:spacing w:line="480" w:lineRule="exact"/>
        <w:ind w:firstLine="482"/>
        <w:rPr>
          <w:rFonts w:ascii="宋体" w:hAnsi="宋体" w:cs="宋体"/>
          <w:b/>
          <w:color w:val="auto"/>
        </w:rPr>
      </w:pPr>
      <w:r>
        <w:rPr>
          <w:rFonts w:hint="eastAsia" w:ascii="宋体" w:hAnsi="宋体" w:cs="宋体"/>
          <w:b/>
          <w:color w:val="auto"/>
        </w:rPr>
        <w:t>十三、网络安全培训服务要求</w:t>
      </w:r>
    </w:p>
    <w:p>
      <w:pPr>
        <w:spacing w:line="480" w:lineRule="exact"/>
        <w:ind w:firstLine="482"/>
        <w:rPr>
          <w:rFonts w:ascii="宋体" w:hAnsi="宋体" w:cs="宋体"/>
          <w:bCs/>
          <w:color w:val="auto"/>
          <w:szCs w:val="21"/>
        </w:rPr>
      </w:pPr>
      <w:r>
        <w:rPr>
          <w:rFonts w:hint="eastAsia" w:ascii="宋体" w:hAnsi="宋体" w:cs="宋体"/>
          <w:bCs/>
          <w:color w:val="auto"/>
          <w:szCs w:val="21"/>
        </w:rPr>
        <w:t>中标人需要为采购人每年至少提供1次信息安全技术培训，确保管理人员和技术人员掌握关于信息系统等级保护相关规范、信息安全策略、信息保密制度，信息安全管理制度和相关流程等。信息安全培训方式分为以下几种：</w:t>
      </w:r>
    </w:p>
    <w:p>
      <w:pPr>
        <w:spacing w:line="480" w:lineRule="exact"/>
        <w:ind w:firstLine="482"/>
        <w:rPr>
          <w:rFonts w:ascii="宋体" w:hAnsi="宋体" w:cs="宋体"/>
          <w:bCs/>
          <w:color w:val="auto"/>
          <w:szCs w:val="21"/>
        </w:rPr>
      </w:pPr>
      <w:r>
        <w:rPr>
          <w:rFonts w:hint="eastAsia" w:ascii="宋体" w:hAnsi="宋体" w:cs="宋体"/>
          <w:bCs/>
          <w:color w:val="auto"/>
          <w:szCs w:val="21"/>
        </w:rPr>
        <w:t>线下培训：线下培训，即为集中授课培训。由中标方安排资深信息安全人员，对采购方人员讲解信息安全相关规范、流程、技术等方面的知识。</w:t>
      </w:r>
    </w:p>
    <w:p>
      <w:pPr>
        <w:spacing w:line="480" w:lineRule="exact"/>
        <w:ind w:firstLine="482"/>
        <w:rPr>
          <w:rFonts w:ascii="宋体" w:hAnsi="宋体" w:cs="宋体"/>
          <w:bCs/>
          <w:color w:val="auto"/>
          <w:szCs w:val="21"/>
        </w:rPr>
      </w:pPr>
      <w:r>
        <w:rPr>
          <w:rFonts w:hint="eastAsia" w:ascii="宋体" w:hAnsi="宋体" w:cs="宋体"/>
          <w:bCs/>
          <w:color w:val="auto"/>
          <w:szCs w:val="21"/>
        </w:rPr>
        <w:t>线上培训：通过在腾讯视频会议等即时通讯工具，对使用人员进行培训。可以采用远程方式，演示系统操作步骤。</w:t>
      </w:r>
    </w:p>
    <w:p>
      <w:pPr>
        <w:spacing w:line="480" w:lineRule="exact"/>
        <w:ind w:firstLine="482"/>
        <w:rPr>
          <w:rFonts w:ascii="宋体" w:hAnsi="宋体" w:cs="宋体"/>
          <w:bCs/>
          <w:color w:val="auto"/>
          <w:szCs w:val="21"/>
        </w:rPr>
      </w:pPr>
      <w:r>
        <w:rPr>
          <w:rFonts w:hint="eastAsia" w:ascii="宋体" w:hAnsi="宋体" w:cs="宋体"/>
          <w:bCs/>
          <w:color w:val="auto"/>
          <w:szCs w:val="21"/>
        </w:rPr>
        <w:t>即时通讯方式培训：对于一些情况较为紧急的使用问题，使用电话方式、微信或其他即时通讯，对使用人员进行系统讲解。</w:t>
      </w:r>
    </w:p>
    <w:p>
      <w:pPr>
        <w:spacing w:line="480" w:lineRule="exact"/>
        <w:ind w:firstLine="482"/>
        <w:rPr>
          <w:rFonts w:ascii="宋体" w:hAnsi="宋体" w:cs="宋体"/>
          <w:bCs/>
          <w:color w:val="auto"/>
          <w:szCs w:val="21"/>
        </w:rPr>
      </w:pPr>
      <w:r>
        <w:rPr>
          <w:rFonts w:hint="eastAsia" w:ascii="宋体" w:hAnsi="宋体" w:cs="宋体"/>
          <w:bCs/>
          <w:color w:val="auto"/>
          <w:szCs w:val="21"/>
        </w:rPr>
        <w:t>培训资料：提供培训课件相关资料</w:t>
      </w:r>
    </w:p>
    <w:p>
      <w:pPr>
        <w:spacing w:line="480" w:lineRule="exact"/>
        <w:ind w:firstLine="482"/>
        <w:rPr>
          <w:rFonts w:ascii="宋体" w:hAnsi="宋体" w:cs="宋体"/>
          <w:bCs/>
          <w:color w:val="auto"/>
          <w:szCs w:val="21"/>
        </w:rPr>
      </w:pPr>
      <w:r>
        <w:rPr>
          <w:rFonts w:hint="eastAsia" w:ascii="宋体" w:hAnsi="宋体" w:cs="宋体"/>
          <w:b/>
          <w:color w:val="auto"/>
        </w:rPr>
        <w:t>十四、网络安全应急响应服务要求</w:t>
      </w:r>
    </w:p>
    <w:p>
      <w:pPr>
        <w:spacing w:line="480" w:lineRule="exact"/>
        <w:ind w:firstLine="482"/>
        <w:rPr>
          <w:rFonts w:ascii="宋体" w:hAnsi="宋体" w:cs="宋体"/>
          <w:bCs/>
          <w:color w:val="auto"/>
          <w:szCs w:val="21"/>
        </w:rPr>
      </w:pPr>
      <w:r>
        <w:rPr>
          <w:rFonts w:hint="eastAsia" w:ascii="宋体" w:hAnsi="宋体" w:cs="宋体"/>
          <w:bCs/>
          <w:color w:val="auto"/>
          <w:szCs w:val="21"/>
        </w:rPr>
        <w:t>发现安全事件或严重漏洞，中标人在接到淮北市公共资源交易中心通知后48小时内，提供分析、取证、追踪、恢复、加固等全方位的技术支持服务。协助修补相关漏洞，完善安全防护策略，针对性加固网络安全防护体系。</w:t>
      </w:r>
    </w:p>
    <w:p>
      <w:pPr>
        <w:spacing w:line="480" w:lineRule="exact"/>
        <w:ind w:firstLine="482"/>
        <w:rPr>
          <w:rFonts w:ascii="宋体" w:hAnsi="宋体" w:cs="宋体"/>
          <w:b/>
          <w:color w:val="auto"/>
        </w:rPr>
      </w:pPr>
      <w:r>
        <w:rPr>
          <w:rFonts w:hint="eastAsia" w:ascii="宋体" w:hAnsi="宋体" w:cs="宋体"/>
          <w:b/>
          <w:color w:val="auto"/>
        </w:rPr>
        <w:t>十五、报价要求</w:t>
      </w:r>
    </w:p>
    <w:p>
      <w:pPr>
        <w:spacing w:line="480" w:lineRule="exact"/>
        <w:ind w:firstLine="482"/>
        <w:rPr>
          <w:rFonts w:ascii="宋体" w:hAnsi="宋体" w:cs="宋体"/>
          <w:bCs/>
          <w:color w:val="auto"/>
          <w:szCs w:val="21"/>
        </w:rPr>
      </w:pPr>
      <w:r>
        <w:rPr>
          <w:rFonts w:hint="eastAsia" w:ascii="宋体" w:hAnsi="宋体" w:cs="宋体"/>
          <w:bCs/>
          <w:color w:val="auto"/>
          <w:szCs w:val="21"/>
        </w:rPr>
        <w:t>本项目报总价，供应商的报价应含有服务、利润、税金、政策性文件规定及合同包含的所有风险、责任、义务等，即为完成招标文件要求的服务内容所包含的一切应有费用，采购人后期不再追加费用，供应商自行考虑投标风险。</w:t>
      </w:r>
    </w:p>
    <w:p>
      <w:pPr>
        <w:widowControl/>
        <w:jc w:val="left"/>
        <w:rPr>
          <w:rFonts w:ascii="宋体" w:hAnsi="宋体" w:cs="宋体"/>
          <w:bCs/>
          <w:color w:val="auto"/>
          <w:szCs w:val="21"/>
        </w:rPr>
      </w:pPr>
      <w:r>
        <w:rPr>
          <w:rFonts w:ascii="宋体" w:hAnsi="宋体" w:cs="宋体"/>
          <w:bCs/>
          <w:color w:val="auto"/>
          <w:szCs w:val="21"/>
        </w:rPr>
        <w:br w:type="page"/>
      </w:r>
    </w:p>
    <w:p>
      <w:pPr>
        <w:pStyle w:val="49"/>
        <w:rPr>
          <w:rFonts w:ascii="宋体" w:hAnsi="宋体" w:cs="宋体"/>
          <w:bCs/>
          <w:color w:val="auto"/>
          <w:szCs w:val="21"/>
        </w:rPr>
      </w:pPr>
    </w:p>
    <w:p>
      <w:pPr>
        <w:pStyle w:val="3"/>
        <w:keepLines/>
        <w:numPr>
          <w:ilvl w:val="0"/>
          <w:numId w:val="0"/>
        </w:numPr>
        <w:tabs>
          <w:tab w:val="left" w:pos="1759"/>
          <w:tab w:val="clear" w:pos="360"/>
          <w:tab w:val="clear" w:pos="1155"/>
        </w:tabs>
        <w:spacing w:line="560" w:lineRule="exact"/>
        <w:jc w:val="center"/>
        <w:rPr>
          <w:rFonts w:ascii="方正小标宋简体" w:hAnsi="方正小标宋简体" w:eastAsia="方正小标宋简体" w:cs="方正小标宋简体"/>
          <w:color w:val="auto"/>
          <w:sz w:val="44"/>
          <w:szCs w:val="44"/>
          <w:lang w:bidi="ar-SA"/>
        </w:rPr>
      </w:pPr>
      <w:r>
        <w:rPr>
          <w:rFonts w:hint="eastAsia" w:ascii="方正小标宋简体" w:hAnsi="方正小标宋简体" w:eastAsia="方正小标宋简体" w:cs="方正小标宋简体"/>
          <w:color w:val="auto"/>
          <w:sz w:val="44"/>
          <w:szCs w:val="44"/>
        </w:rPr>
        <w:t>第二章</w:t>
      </w:r>
      <w:r>
        <w:rPr>
          <w:rFonts w:hint="eastAsia" w:ascii="方正小标宋简体" w:hAnsi="方正小标宋简体" w:eastAsia="方正小标宋简体" w:cs="方正小标宋简体"/>
          <w:color w:val="auto"/>
          <w:sz w:val="44"/>
          <w:szCs w:val="44"/>
        </w:rPr>
        <w:tab/>
      </w:r>
      <w:r>
        <w:rPr>
          <w:rFonts w:hint="eastAsia" w:ascii="方正小标宋简体" w:hAnsi="方正小标宋简体" w:eastAsia="方正小标宋简体" w:cs="方正小标宋简体"/>
          <w:color w:val="auto"/>
          <w:sz w:val="44"/>
          <w:szCs w:val="44"/>
        </w:rPr>
        <w:t>磋商和评审办法</w:t>
      </w:r>
    </w:p>
    <w:p>
      <w:pPr>
        <w:pStyle w:val="3"/>
        <w:keepLines/>
        <w:numPr>
          <w:ilvl w:val="0"/>
          <w:numId w:val="0"/>
        </w:numPr>
        <w:tabs>
          <w:tab w:val="left" w:pos="1759"/>
          <w:tab w:val="clear" w:pos="360"/>
          <w:tab w:val="clear" w:pos="1155"/>
        </w:tabs>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评审办法前附表</w:t>
      </w:r>
    </w:p>
    <w:p>
      <w:pPr>
        <w:spacing w:line="480" w:lineRule="exact"/>
        <w:ind w:firstLine="482"/>
        <w:rPr>
          <w:rFonts w:ascii="宋体" w:hAnsi="宋体" w:cs="宋体"/>
          <w:bCs/>
          <w:color w:val="auto"/>
          <w:szCs w:val="21"/>
        </w:rPr>
      </w:pPr>
    </w:p>
    <w:p>
      <w:pPr>
        <w:spacing w:line="480" w:lineRule="exact"/>
        <w:ind w:firstLine="482"/>
        <w:rPr>
          <w:rFonts w:ascii="宋体" w:hAnsi="宋体" w:cs="宋体"/>
          <w:bCs/>
          <w:color w:val="auto"/>
          <w:szCs w:val="21"/>
        </w:rPr>
      </w:pPr>
      <w:r>
        <w:rPr>
          <w:rFonts w:hint="eastAsia" w:ascii="宋体" w:hAnsi="宋体" w:cs="宋体"/>
          <w:bCs/>
          <w:color w:val="auto"/>
          <w:szCs w:val="21"/>
        </w:rPr>
        <w:t>以下涉及初步评审及详细评审的资料均须提供复印件并加盖供应商单位公章放入响应文件（供应商提供的资料须清晰、明确、可辨认，否则磋商小组可作出不利于供应商的决定）。</w:t>
      </w:r>
    </w:p>
    <w:p>
      <w:pPr>
        <w:spacing w:line="480" w:lineRule="exact"/>
        <w:ind w:firstLine="482"/>
        <w:rPr>
          <w:rFonts w:ascii="宋体" w:hAnsi="宋体" w:cs="宋体"/>
          <w:bCs/>
          <w:color w:val="auto"/>
          <w:szCs w:val="21"/>
        </w:rPr>
      </w:pPr>
      <w:r>
        <w:rPr>
          <w:rFonts w:hint="eastAsia" w:ascii="宋体" w:hAnsi="宋体" w:cs="宋体"/>
          <w:b/>
          <w:color w:val="auto"/>
          <w:szCs w:val="21"/>
        </w:rPr>
        <w:t>1、符合性审查标准</w:t>
      </w:r>
    </w:p>
    <w:tbl>
      <w:tblPr>
        <w:tblStyle w:val="323"/>
        <w:tblW w:w="8670" w:type="dxa"/>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1104"/>
        <w:gridCol w:w="1512"/>
        <w:gridCol w:w="4896"/>
        <w:gridCol w:w="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12" w:type="dxa"/>
          </w:tcPr>
          <w:p>
            <w:pPr>
              <w:pStyle w:val="154"/>
              <w:adjustRightInd w:val="0"/>
              <w:snapToGrid w:val="0"/>
              <w:jc w:val="center"/>
              <w:rPr>
                <w:b/>
                <w:color w:val="auto"/>
                <w:sz w:val="21"/>
              </w:rPr>
            </w:pPr>
            <w:r>
              <w:rPr>
                <w:rFonts w:hint="eastAsia"/>
                <w:b/>
                <w:color w:val="auto"/>
                <w:sz w:val="21"/>
              </w:rPr>
              <w:t>序号</w:t>
            </w:r>
          </w:p>
        </w:tc>
        <w:tc>
          <w:tcPr>
            <w:tcW w:w="1104" w:type="dxa"/>
          </w:tcPr>
          <w:p>
            <w:pPr>
              <w:pStyle w:val="154"/>
              <w:adjustRightInd w:val="0"/>
              <w:snapToGrid w:val="0"/>
              <w:jc w:val="center"/>
              <w:rPr>
                <w:b/>
                <w:color w:val="auto"/>
                <w:sz w:val="21"/>
              </w:rPr>
            </w:pPr>
            <w:r>
              <w:rPr>
                <w:rFonts w:hint="eastAsia"/>
                <w:b/>
                <w:color w:val="auto"/>
                <w:sz w:val="21"/>
              </w:rPr>
              <w:t>评审项</w:t>
            </w:r>
          </w:p>
        </w:tc>
        <w:tc>
          <w:tcPr>
            <w:tcW w:w="1512" w:type="dxa"/>
          </w:tcPr>
          <w:p>
            <w:pPr>
              <w:pStyle w:val="154"/>
              <w:adjustRightInd w:val="0"/>
              <w:snapToGrid w:val="0"/>
              <w:jc w:val="center"/>
              <w:rPr>
                <w:b/>
                <w:color w:val="auto"/>
                <w:sz w:val="21"/>
              </w:rPr>
            </w:pPr>
            <w:r>
              <w:rPr>
                <w:rFonts w:hint="eastAsia"/>
                <w:b/>
                <w:color w:val="auto"/>
                <w:sz w:val="21"/>
              </w:rPr>
              <w:t>评审因素</w:t>
            </w:r>
          </w:p>
        </w:tc>
        <w:tc>
          <w:tcPr>
            <w:tcW w:w="4896" w:type="dxa"/>
          </w:tcPr>
          <w:p>
            <w:pPr>
              <w:pStyle w:val="154"/>
              <w:adjustRightInd w:val="0"/>
              <w:snapToGrid w:val="0"/>
              <w:jc w:val="center"/>
              <w:rPr>
                <w:b/>
                <w:color w:val="auto"/>
                <w:sz w:val="21"/>
              </w:rPr>
            </w:pPr>
            <w:r>
              <w:rPr>
                <w:rFonts w:hint="eastAsia"/>
                <w:b/>
                <w:color w:val="auto"/>
                <w:sz w:val="21"/>
              </w:rPr>
              <w:t>评审标准</w:t>
            </w:r>
          </w:p>
        </w:tc>
        <w:tc>
          <w:tcPr>
            <w:tcW w:w="546" w:type="dxa"/>
          </w:tcPr>
          <w:p>
            <w:pPr>
              <w:pStyle w:val="154"/>
              <w:adjustRightInd w:val="0"/>
              <w:snapToGrid w:val="0"/>
              <w:jc w:val="center"/>
              <w:rPr>
                <w:b/>
                <w:color w:val="auto"/>
                <w:sz w:val="21"/>
              </w:rPr>
            </w:pPr>
            <w:r>
              <w:rPr>
                <w:rFonts w:hint="eastAsia"/>
                <w:b/>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12" w:type="dxa"/>
            <w:vMerge w:val="restart"/>
            <w:vAlign w:val="center"/>
          </w:tcPr>
          <w:p>
            <w:pPr>
              <w:pStyle w:val="154"/>
              <w:adjustRightInd w:val="0"/>
              <w:snapToGrid w:val="0"/>
              <w:jc w:val="center"/>
              <w:rPr>
                <w:color w:val="auto"/>
                <w:sz w:val="21"/>
              </w:rPr>
            </w:pPr>
            <w:r>
              <w:rPr>
                <w:rFonts w:hint="eastAsia"/>
                <w:color w:val="auto"/>
                <w:sz w:val="21"/>
              </w:rPr>
              <w:t>1</w:t>
            </w:r>
          </w:p>
        </w:tc>
        <w:tc>
          <w:tcPr>
            <w:tcW w:w="1104" w:type="dxa"/>
            <w:vMerge w:val="restart"/>
            <w:vAlign w:val="center"/>
          </w:tcPr>
          <w:p>
            <w:pPr>
              <w:pStyle w:val="154"/>
              <w:adjustRightInd w:val="0"/>
              <w:snapToGrid w:val="0"/>
              <w:jc w:val="center"/>
              <w:rPr>
                <w:color w:val="auto"/>
                <w:sz w:val="21"/>
              </w:rPr>
            </w:pPr>
            <w:r>
              <w:rPr>
                <w:rFonts w:hint="eastAsia"/>
                <w:color w:val="auto"/>
                <w:sz w:val="21"/>
              </w:rPr>
              <w:t>形式评审</w:t>
            </w:r>
          </w:p>
        </w:tc>
        <w:tc>
          <w:tcPr>
            <w:tcW w:w="1512" w:type="dxa"/>
            <w:vAlign w:val="center"/>
          </w:tcPr>
          <w:p>
            <w:pPr>
              <w:pStyle w:val="154"/>
              <w:adjustRightInd w:val="0"/>
              <w:snapToGrid w:val="0"/>
              <w:jc w:val="center"/>
              <w:rPr>
                <w:color w:val="auto"/>
                <w:sz w:val="21"/>
              </w:rPr>
            </w:pPr>
            <w:r>
              <w:rPr>
                <w:rFonts w:hint="eastAsia"/>
                <w:color w:val="auto"/>
                <w:sz w:val="21"/>
              </w:rPr>
              <w:t>供应商名称</w:t>
            </w:r>
          </w:p>
        </w:tc>
        <w:tc>
          <w:tcPr>
            <w:tcW w:w="4896" w:type="dxa"/>
            <w:vAlign w:val="center"/>
          </w:tcPr>
          <w:p>
            <w:pPr>
              <w:pStyle w:val="154"/>
              <w:adjustRightInd w:val="0"/>
              <w:snapToGrid w:val="0"/>
              <w:jc w:val="left"/>
              <w:rPr>
                <w:color w:val="auto"/>
                <w:sz w:val="21"/>
              </w:rPr>
            </w:pPr>
            <w:r>
              <w:rPr>
                <w:rFonts w:hint="eastAsia"/>
                <w:color w:val="auto"/>
                <w:sz w:val="21"/>
              </w:rPr>
              <w:t>与营业执照一致</w:t>
            </w:r>
          </w:p>
        </w:tc>
        <w:tc>
          <w:tcPr>
            <w:tcW w:w="546" w:type="dxa"/>
          </w:tcPr>
          <w:p>
            <w:pPr>
              <w:pStyle w:val="154"/>
              <w:adjustRightInd w:val="0"/>
              <w:snapToGrid w:val="0"/>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12" w:type="dxa"/>
            <w:vMerge w:val="continue"/>
            <w:tcBorders>
              <w:top w:val="nil"/>
            </w:tcBorders>
            <w:vAlign w:val="center"/>
          </w:tcPr>
          <w:p>
            <w:pPr>
              <w:adjustRightInd w:val="0"/>
              <w:snapToGrid w:val="0"/>
              <w:jc w:val="center"/>
              <w:rPr>
                <w:rFonts w:ascii="宋体" w:hAnsi="宋体" w:cs="宋体"/>
                <w:color w:val="auto"/>
                <w:sz w:val="2"/>
                <w:szCs w:val="2"/>
              </w:rPr>
            </w:pPr>
          </w:p>
        </w:tc>
        <w:tc>
          <w:tcPr>
            <w:tcW w:w="1104" w:type="dxa"/>
            <w:vMerge w:val="continue"/>
            <w:tcBorders>
              <w:top w:val="nil"/>
            </w:tcBorders>
            <w:vAlign w:val="center"/>
          </w:tcPr>
          <w:p>
            <w:pPr>
              <w:adjustRightInd w:val="0"/>
              <w:snapToGrid w:val="0"/>
              <w:jc w:val="center"/>
              <w:rPr>
                <w:rFonts w:ascii="宋体" w:hAnsi="宋体" w:cs="宋体"/>
                <w:color w:val="auto"/>
                <w:sz w:val="2"/>
                <w:szCs w:val="2"/>
              </w:rPr>
            </w:pPr>
          </w:p>
        </w:tc>
        <w:tc>
          <w:tcPr>
            <w:tcW w:w="1512" w:type="dxa"/>
            <w:vAlign w:val="center"/>
          </w:tcPr>
          <w:p>
            <w:pPr>
              <w:pStyle w:val="154"/>
              <w:adjustRightInd w:val="0"/>
              <w:snapToGrid w:val="0"/>
              <w:jc w:val="center"/>
              <w:rPr>
                <w:color w:val="auto"/>
                <w:sz w:val="21"/>
              </w:rPr>
            </w:pPr>
            <w:r>
              <w:rPr>
                <w:rFonts w:hint="eastAsia"/>
                <w:color w:val="auto"/>
                <w:sz w:val="21"/>
              </w:rPr>
              <w:t>法定代表人身份证明及授权委托书</w:t>
            </w:r>
          </w:p>
        </w:tc>
        <w:tc>
          <w:tcPr>
            <w:tcW w:w="4896" w:type="dxa"/>
            <w:vAlign w:val="center"/>
          </w:tcPr>
          <w:p>
            <w:pPr>
              <w:pStyle w:val="154"/>
              <w:adjustRightInd w:val="0"/>
              <w:snapToGrid w:val="0"/>
              <w:jc w:val="left"/>
              <w:rPr>
                <w:color w:val="auto"/>
                <w:sz w:val="21"/>
              </w:rPr>
            </w:pPr>
            <w:r>
              <w:rPr>
                <w:rFonts w:hint="eastAsia"/>
                <w:color w:val="auto"/>
                <w:sz w:val="21"/>
              </w:rPr>
              <w:t>法定代表人身份证明及授权委托书符合竞争性磋商文件规定的格式，按规定格式签字盖章</w:t>
            </w:r>
          </w:p>
        </w:tc>
        <w:tc>
          <w:tcPr>
            <w:tcW w:w="546" w:type="dxa"/>
          </w:tcPr>
          <w:p>
            <w:pPr>
              <w:pStyle w:val="154"/>
              <w:adjustRightInd w:val="0"/>
              <w:snapToGrid w:val="0"/>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12" w:type="dxa"/>
            <w:vMerge w:val="continue"/>
            <w:tcBorders>
              <w:top w:val="nil"/>
            </w:tcBorders>
            <w:vAlign w:val="center"/>
          </w:tcPr>
          <w:p>
            <w:pPr>
              <w:adjustRightInd w:val="0"/>
              <w:snapToGrid w:val="0"/>
              <w:jc w:val="center"/>
              <w:rPr>
                <w:rFonts w:ascii="宋体" w:hAnsi="宋体" w:cs="宋体"/>
                <w:color w:val="auto"/>
                <w:sz w:val="2"/>
                <w:szCs w:val="2"/>
              </w:rPr>
            </w:pPr>
          </w:p>
        </w:tc>
        <w:tc>
          <w:tcPr>
            <w:tcW w:w="1104" w:type="dxa"/>
            <w:vMerge w:val="continue"/>
            <w:tcBorders>
              <w:top w:val="nil"/>
            </w:tcBorders>
            <w:vAlign w:val="center"/>
          </w:tcPr>
          <w:p>
            <w:pPr>
              <w:adjustRightInd w:val="0"/>
              <w:snapToGrid w:val="0"/>
              <w:jc w:val="center"/>
              <w:rPr>
                <w:rFonts w:ascii="宋体" w:hAnsi="宋体" w:cs="宋体"/>
                <w:color w:val="auto"/>
                <w:sz w:val="2"/>
                <w:szCs w:val="2"/>
              </w:rPr>
            </w:pPr>
          </w:p>
        </w:tc>
        <w:tc>
          <w:tcPr>
            <w:tcW w:w="1512" w:type="dxa"/>
            <w:vAlign w:val="center"/>
          </w:tcPr>
          <w:p>
            <w:pPr>
              <w:pStyle w:val="154"/>
              <w:adjustRightInd w:val="0"/>
              <w:snapToGrid w:val="0"/>
              <w:jc w:val="center"/>
              <w:rPr>
                <w:color w:val="auto"/>
                <w:sz w:val="21"/>
              </w:rPr>
            </w:pPr>
            <w:r>
              <w:rPr>
                <w:rFonts w:hint="eastAsia"/>
                <w:color w:val="auto"/>
                <w:sz w:val="21"/>
              </w:rPr>
              <w:t>联合体响应</w:t>
            </w:r>
          </w:p>
        </w:tc>
        <w:tc>
          <w:tcPr>
            <w:tcW w:w="4896" w:type="dxa"/>
            <w:vAlign w:val="center"/>
          </w:tcPr>
          <w:p>
            <w:pPr>
              <w:pStyle w:val="154"/>
              <w:adjustRightInd w:val="0"/>
              <w:snapToGrid w:val="0"/>
              <w:jc w:val="left"/>
              <w:rPr>
                <w:color w:val="auto"/>
                <w:sz w:val="21"/>
              </w:rPr>
            </w:pPr>
            <w:r>
              <w:rPr>
                <w:rFonts w:hint="eastAsia"/>
                <w:color w:val="auto"/>
                <w:sz w:val="21"/>
              </w:rPr>
              <w:t>本项目不接受联合体响应</w:t>
            </w:r>
          </w:p>
        </w:tc>
        <w:tc>
          <w:tcPr>
            <w:tcW w:w="546" w:type="dxa"/>
          </w:tcPr>
          <w:p>
            <w:pPr>
              <w:pStyle w:val="154"/>
              <w:adjustRightInd w:val="0"/>
              <w:snapToGrid w:val="0"/>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12" w:type="dxa"/>
            <w:vMerge w:val="continue"/>
            <w:tcBorders>
              <w:top w:val="nil"/>
            </w:tcBorders>
            <w:vAlign w:val="center"/>
          </w:tcPr>
          <w:p>
            <w:pPr>
              <w:adjustRightInd w:val="0"/>
              <w:snapToGrid w:val="0"/>
              <w:jc w:val="center"/>
              <w:rPr>
                <w:rFonts w:ascii="宋体" w:hAnsi="宋体" w:cs="宋体"/>
                <w:color w:val="auto"/>
                <w:sz w:val="2"/>
                <w:szCs w:val="2"/>
              </w:rPr>
            </w:pPr>
          </w:p>
        </w:tc>
        <w:tc>
          <w:tcPr>
            <w:tcW w:w="1104" w:type="dxa"/>
            <w:vMerge w:val="continue"/>
            <w:tcBorders>
              <w:top w:val="nil"/>
            </w:tcBorders>
            <w:vAlign w:val="center"/>
          </w:tcPr>
          <w:p>
            <w:pPr>
              <w:adjustRightInd w:val="0"/>
              <w:snapToGrid w:val="0"/>
              <w:jc w:val="center"/>
              <w:rPr>
                <w:rFonts w:ascii="宋体" w:hAnsi="宋体" w:cs="宋体"/>
                <w:color w:val="auto"/>
                <w:sz w:val="2"/>
                <w:szCs w:val="2"/>
              </w:rPr>
            </w:pPr>
          </w:p>
        </w:tc>
        <w:tc>
          <w:tcPr>
            <w:tcW w:w="1512" w:type="dxa"/>
            <w:vAlign w:val="center"/>
          </w:tcPr>
          <w:p>
            <w:pPr>
              <w:pStyle w:val="154"/>
              <w:adjustRightInd w:val="0"/>
              <w:snapToGrid w:val="0"/>
              <w:jc w:val="center"/>
              <w:rPr>
                <w:color w:val="auto"/>
                <w:sz w:val="21"/>
              </w:rPr>
            </w:pPr>
            <w:r>
              <w:rPr>
                <w:rFonts w:hint="eastAsia"/>
                <w:color w:val="auto"/>
                <w:sz w:val="21"/>
              </w:rPr>
              <w:t>书面承诺函格式及内容</w:t>
            </w:r>
          </w:p>
        </w:tc>
        <w:tc>
          <w:tcPr>
            <w:tcW w:w="4896" w:type="dxa"/>
            <w:vAlign w:val="center"/>
          </w:tcPr>
          <w:p>
            <w:pPr>
              <w:pStyle w:val="154"/>
              <w:adjustRightInd w:val="0"/>
              <w:snapToGrid w:val="0"/>
              <w:jc w:val="left"/>
              <w:rPr>
                <w:b/>
                <w:color w:val="auto"/>
                <w:sz w:val="11"/>
              </w:rPr>
            </w:pPr>
          </w:p>
          <w:p>
            <w:pPr>
              <w:pStyle w:val="154"/>
              <w:adjustRightInd w:val="0"/>
              <w:snapToGrid w:val="0"/>
              <w:jc w:val="left"/>
              <w:rPr>
                <w:color w:val="auto"/>
                <w:sz w:val="21"/>
              </w:rPr>
            </w:pPr>
            <w:r>
              <w:rPr>
                <w:rFonts w:hint="eastAsia"/>
                <w:color w:val="auto"/>
                <w:sz w:val="21"/>
              </w:rPr>
              <w:t>应符合磋商文件的要求</w:t>
            </w:r>
          </w:p>
        </w:tc>
        <w:tc>
          <w:tcPr>
            <w:tcW w:w="546" w:type="dxa"/>
          </w:tcPr>
          <w:p>
            <w:pPr>
              <w:pStyle w:val="154"/>
              <w:adjustRightInd w:val="0"/>
              <w:snapToGrid w:val="0"/>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12" w:type="dxa"/>
            <w:vMerge w:val="continue"/>
            <w:tcBorders>
              <w:top w:val="nil"/>
            </w:tcBorders>
            <w:vAlign w:val="center"/>
          </w:tcPr>
          <w:p>
            <w:pPr>
              <w:adjustRightInd w:val="0"/>
              <w:snapToGrid w:val="0"/>
              <w:jc w:val="center"/>
              <w:rPr>
                <w:rFonts w:ascii="宋体" w:hAnsi="宋体" w:cs="宋体"/>
                <w:color w:val="auto"/>
                <w:sz w:val="2"/>
                <w:szCs w:val="2"/>
              </w:rPr>
            </w:pPr>
          </w:p>
        </w:tc>
        <w:tc>
          <w:tcPr>
            <w:tcW w:w="1104" w:type="dxa"/>
            <w:vMerge w:val="continue"/>
            <w:tcBorders>
              <w:top w:val="nil"/>
            </w:tcBorders>
            <w:vAlign w:val="center"/>
          </w:tcPr>
          <w:p>
            <w:pPr>
              <w:adjustRightInd w:val="0"/>
              <w:snapToGrid w:val="0"/>
              <w:jc w:val="center"/>
              <w:rPr>
                <w:rFonts w:ascii="宋体" w:hAnsi="宋体" w:cs="宋体"/>
                <w:color w:val="auto"/>
                <w:sz w:val="2"/>
                <w:szCs w:val="2"/>
              </w:rPr>
            </w:pPr>
          </w:p>
        </w:tc>
        <w:tc>
          <w:tcPr>
            <w:tcW w:w="1512" w:type="dxa"/>
            <w:vAlign w:val="center"/>
          </w:tcPr>
          <w:p>
            <w:pPr>
              <w:pStyle w:val="154"/>
              <w:adjustRightInd w:val="0"/>
              <w:snapToGrid w:val="0"/>
              <w:jc w:val="center"/>
              <w:rPr>
                <w:color w:val="auto"/>
                <w:sz w:val="21"/>
              </w:rPr>
            </w:pPr>
            <w:r>
              <w:rPr>
                <w:rFonts w:hint="eastAsia"/>
                <w:color w:val="auto"/>
                <w:sz w:val="21"/>
              </w:rPr>
              <w:t>其他要求</w:t>
            </w:r>
          </w:p>
        </w:tc>
        <w:tc>
          <w:tcPr>
            <w:tcW w:w="4896" w:type="dxa"/>
            <w:vAlign w:val="center"/>
          </w:tcPr>
          <w:p>
            <w:pPr>
              <w:pStyle w:val="154"/>
              <w:adjustRightInd w:val="0"/>
              <w:snapToGrid w:val="0"/>
              <w:jc w:val="left"/>
              <w:rPr>
                <w:color w:val="auto"/>
                <w:sz w:val="21"/>
              </w:rPr>
            </w:pPr>
            <w:r>
              <w:rPr>
                <w:rFonts w:hint="eastAsia"/>
                <w:color w:val="auto"/>
                <w:sz w:val="21"/>
              </w:rPr>
              <w:t>应符合磋商文件的要求</w:t>
            </w:r>
          </w:p>
        </w:tc>
        <w:tc>
          <w:tcPr>
            <w:tcW w:w="546" w:type="dxa"/>
          </w:tcPr>
          <w:p>
            <w:pPr>
              <w:pStyle w:val="154"/>
              <w:adjustRightInd w:val="0"/>
              <w:snapToGrid w:val="0"/>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12" w:type="dxa"/>
            <w:vMerge w:val="restart"/>
            <w:vAlign w:val="center"/>
          </w:tcPr>
          <w:p>
            <w:pPr>
              <w:pStyle w:val="154"/>
              <w:adjustRightInd w:val="0"/>
              <w:snapToGrid w:val="0"/>
              <w:jc w:val="center"/>
              <w:rPr>
                <w:color w:val="auto"/>
                <w:sz w:val="21"/>
              </w:rPr>
            </w:pPr>
            <w:r>
              <w:rPr>
                <w:rFonts w:hint="eastAsia"/>
                <w:color w:val="auto"/>
                <w:sz w:val="21"/>
              </w:rPr>
              <w:t>2</w:t>
            </w:r>
          </w:p>
        </w:tc>
        <w:tc>
          <w:tcPr>
            <w:tcW w:w="1104" w:type="dxa"/>
            <w:vMerge w:val="restart"/>
            <w:vAlign w:val="center"/>
          </w:tcPr>
          <w:p>
            <w:pPr>
              <w:pStyle w:val="154"/>
              <w:adjustRightInd w:val="0"/>
              <w:snapToGrid w:val="0"/>
              <w:jc w:val="center"/>
              <w:rPr>
                <w:color w:val="auto"/>
                <w:sz w:val="21"/>
              </w:rPr>
            </w:pPr>
            <w:r>
              <w:rPr>
                <w:rFonts w:hint="eastAsia"/>
                <w:color w:val="auto"/>
                <w:sz w:val="21"/>
              </w:rPr>
              <w:t>资格评审</w:t>
            </w:r>
          </w:p>
        </w:tc>
        <w:tc>
          <w:tcPr>
            <w:tcW w:w="1512" w:type="dxa"/>
            <w:vAlign w:val="center"/>
          </w:tcPr>
          <w:p>
            <w:pPr>
              <w:pStyle w:val="154"/>
              <w:adjustRightInd w:val="0"/>
              <w:snapToGrid w:val="0"/>
              <w:jc w:val="center"/>
              <w:rPr>
                <w:color w:val="auto"/>
                <w:sz w:val="21"/>
              </w:rPr>
            </w:pPr>
            <w:r>
              <w:rPr>
                <w:rFonts w:hint="eastAsia"/>
                <w:color w:val="auto"/>
                <w:sz w:val="21"/>
              </w:rPr>
              <w:t>资格要求</w:t>
            </w:r>
          </w:p>
        </w:tc>
        <w:tc>
          <w:tcPr>
            <w:tcW w:w="4896" w:type="dxa"/>
            <w:vAlign w:val="center"/>
          </w:tcPr>
          <w:p>
            <w:pPr>
              <w:pStyle w:val="154"/>
              <w:adjustRightInd w:val="0"/>
              <w:snapToGrid w:val="0"/>
              <w:jc w:val="left"/>
              <w:rPr>
                <w:color w:val="auto"/>
                <w:sz w:val="21"/>
              </w:rPr>
            </w:pPr>
            <w:r>
              <w:rPr>
                <w:rFonts w:hint="eastAsia"/>
                <w:color w:val="auto"/>
                <w:sz w:val="21"/>
              </w:rPr>
              <w:t>具有独立法人资格，提供有效营业执照。</w:t>
            </w:r>
          </w:p>
        </w:tc>
        <w:tc>
          <w:tcPr>
            <w:tcW w:w="546" w:type="dxa"/>
          </w:tcPr>
          <w:p>
            <w:pPr>
              <w:pStyle w:val="154"/>
              <w:adjustRightInd w:val="0"/>
              <w:snapToGrid w:val="0"/>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12" w:type="dxa"/>
            <w:vMerge w:val="continue"/>
            <w:tcBorders>
              <w:top w:val="nil"/>
            </w:tcBorders>
            <w:vAlign w:val="center"/>
          </w:tcPr>
          <w:p>
            <w:pPr>
              <w:adjustRightInd w:val="0"/>
              <w:snapToGrid w:val="0"/>
              <w:jc w:val="center"/>
              <w:rPr>
                <w:rFonts w:ascii="宋体" w:hAnsi="宋体" w:cs="宋体"/>
                <w:color w:val="auto"/>
                <w:sz w:val="2"/>
                <w:szCs w:val="2"/>
              </w:rPr>
            </w:pPr>
          </w:p>
        </w:tc>
        <w:tc>
          <w:tcPr>
            <w:tcW w:w="1104" w:type="dxa"/>
            <w:vMerge w:val="continue"/>
            <w:tcBorders>
              <w:top w:val="nil"/>
            </w:tcBorders>
            <w:vAlign w:val="center"/>
          </w:tcPr>
          <w:p>
            <w:pPr>
              <w:adjustRightInd w:val="0"/>
              <w:snapToGrid w:val="0"/>
              <w:jc w:val="center"/>
              <w:rPr>
                <w:rFonts w:ascii="宋体" w:hAnsi="宋体" w:cs="宋体"/>
                <w:color w:val="auto"/>
                <w:sz w:val="2"/>
                <w:szCs w:val="2"/>
              </w:rPr>
            </w:pPr>
          </w:p>
        </w:tc>
        <w:tc>
          <w:tcPr>
            <w:tcW w:w="1512" w:type="dxa"/>
            <w:vAlign w:val="center"/>
          </w:tcPr>
          <w:p>
            <w:pPr>
              <w:pStyle w:val="154"/>
              <w:adjustRightInd w:val="0"/>
              <w:snapToGrid w:val="0"/>
              <w:jc w:val="center"/>
              <w:rPr>
                <w:color w:val="auto"/>
                <w:sz w:val="21"/>
              </w:rPr>
            </w:pPr>
            <w:r>
              <w:rPr>
                <w:rFonts w:hint="eastAsia"/>
                <w:color w:val="auto"/>
                <w:sz w:val="21"/>
              </w:rPr>
              <w:t>信用要求</w:t>
            </w:r>
          </w:p>
        </w:tc>
        <w:tc>
          <w:tcPr>
            <w:tcW w:w="4896" w:type="dxa"/>
            <w:vAlign w:val="center"/>
          </w:tcPr>
          <w:p>
            <w:pPr>
              <w:pStyle w:val="154"/>
              <w:adjustRightInd w:val="0"/>
              <w:snapToGrid w:val="0"/>
              <w:jc w:val="left"/>
              <w:rPr>
                <w:color w:val="auto"/>
                <w:sz w:val="21"/>
              </w:rPr>
            </w:pPr>
            <w:r>
              <w:rPr>
                <w:rFonts w:hint="eastAsia"/>
                <w:color w:val="auto"/>
                <w:sz w:val="21"/>
              </w:rPr>
              <w:t>供应商（含其不具有独立法人资格的分支机构）不得存在下列不良信用记录情形之一：</w:t>
            </w:r>
          </w:p>
          <w:p>
            <w:pPr>
              <w:pStyle w:val="154"/>
              <w:adjustRightInd w:val="0"/>
              <w:snapToGrid w:val="0"/>
              <w:jc w:val="left"/>
              <w:rPr>
                <w:color w:val="auto"/>
                <w:sz w:val="21"/>
              </w:rPr>
            </w:pPr>
            <w:r>
              <w:rPr>
                <w:rFonts w:hint="eastAsia"/>
                <w:color w:val="auto"/>
                <w:sz w:val="21"/>
              </w:rPr>
              <w:t>1、被人民法院列入失信被执行人的；</w:t>
            </w:r>
          </w:p>
          <w:p>
            <w:pPr>
              <w:pStyle w:val="154"/>
              <w:adjustRightInd w:val="0"/>
              <w:snapToGrid w:val="0"/>
              <w:jc w:val="left"/>
              <w:rPr>
                <w:color w:val="auto"/>
                <w:sz w:val="21"/>
              </w:rPr>
            </w:pPr>
            <w:r>
              <w:rPr>
                <w:rFonts w:hint="eastAsia"/>
                <w:color w:val="auto"/>
                <w:sz w:val="21"/>
              </w:rPr>
              <w:t>2、被税务部门列入重大税收违法案件当事人名单的；</w:t>
            </w:r>
          </w:p>
          <w:p>
            <w:pPr>
              <w:pStyle w:val="154"/>
              <w:adjustRightInd w:val="0"/>
              <w:snapToGrid w:val="0"/>
              <w:jc w:val="left"/>
              <w:rPr>
                <w:color w:val="auto"/>
                <w:sz w:val="21"/>
              </w:rPr>
            </w:pPr>
            <w:r>
              <w:rPr>
                <w:rFonts w:hint="eastAsia"/>
                <w:color w:val="auto"/>
                <w:sz w:val="21"/>
              </w:rPr>
              <w:t>备注：是否有不良信用记录，仅以</w:t>
            </w:r>
            <w:r>
              <w:rPr>
                <w:rFonts w:hint="eastAsia"/>
                <w:color w:val="auto"/>
                <w:sz w:val="21"/>
                <w:lang w:val="en-US" w:eastAsia="zh-CN"/>
              </w:rPr>
              <w:t>开标当日</w:t>
            </w:r>
            <w:r>
              <w:rPr>
                <w:rFonts w:hint="eastAsia"/>
                <w:color w:val="auto"/>
                <w:sz w:val="21"/>
              </w:rPr>
              <w:t>查询的结果为准。</w:t>
            </w:r>
          </w:p>
        </w:tc>
        <w:tc>
          <w:tcPr>
            <w:tcW w:w="546" w:type="dxa"/>
          </w:tcPr>
          <w:p>
            <w:pPr>
              <w:pStyle w:val="154"/>
              <w:adjustRightInd w:val="0"/>
              <w:snapToGrid w:val="0"/>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12" w:type="dxa"/>
            <w:vMerge w:val="continue"/>
            <w:tcBorders>
              <w:top w:val="nil"/>
            </w:tcBorders>
            <w:vAlign w:val="center"/>
          </w:tcPr>
          <w:p>
            <w:pPr>
              <w:adjustRightInd w:val="0"/>
              <w:snapToGrid w:val="0"/>
              <w:jc w:val="center"/>
              <w:rPr>
                <w:rFonts w:ascii="宋体" w:hAnsi="宋体" w:cs="宋体"/>
                <w:color w:val="auto"/>
                <w:sz w:val="2"/>
                <w:szCs w:val="2"/>
              </w:rPr>
            </w:pPr>
          </w:p>
        </w:tc>
        <w:tc>
          <w:tcPr>
            <w:tcW w:w="1104" w:type="dxa"/>
            <w:vMerge w:val="continue"/>
            <w:tcBorders>
              <w:top w:val="nil"/>
            </w:tcBorders>
            <w:vAlign w:val="center"/>
          </w:tcPr>
          <w:p>
            <w:pPr>
              <w:adjustRightInd w:val="0"/>
              <w:snapToGrid w:val="0"/>
              <w:jc w:val="center"/>
              <w:rPr>
                <w:rFonts w:ascii="宋体" w:hAnsi="宋体" w:cs="宋体"/>
                <w:color w:val="auto"/>
                <w:sz w:val="2"/>
                <w:szCs w:val="2"/>
              </w:rPr>
            </w:pPr>
          </w:p>
        </w:tc>
        <w:tc>
          <w:tcPr>
            <w:tcW w:w="1512" w:type="dxa"/>
            <w:vAlign w:val="center"/>
          </w:tcPr>
          <w:p>
            <w:pPr>
              <w:pStyle w:val="154"/>
              <w:adjustRightInd w:val="0"/>
              <w:snapToGrid w:val="0"/>
              <w:jc w:val="center"/>
              <w:rPr>
                <w:color w:val="auto"/>
                <w:sz w:val="21"/>
              </w:rPr>
            </w:pPr>
            <w:r>
              <w:rPr>
                <w:rFonts w:hint="eastAsia"/>
                <w:color w:val="auto"/>
                <w:sz w:val="21"/>
              </w:rPr>
              <w:t>其他要求</w:t>
            </w:r>
          </w:p>
        </w:tc>
        <w:tc>
          <w:tcPr>
            <w:tcW w:w="4896" w:type="dxa"/>
            <w:vAlign w:val="center"/>
          </w:tcPr>
          <w:p>
            <w:pPr>
              <w:pStyle w:val="154"/>
              <w:adjustRightInd w:val="0"/>
              <w:snapToGrid w:val="0"/>
              <w:jc w:val="left"/>
              <w:rPr>
                <w:color w:val="auto"/>
                <w:sz w:val="21"/>
              </w:rPr>
            </w:pPr>
            <w:r>
              <w:rPr>
                <w:rFonts w:hint="eastAsia"/>
                <w:color w:val="auto"/>
                <w:sz w:val="21"/>
              </w:rPr>
              <w:t>磋商文件其他实质性要求</w:t>
            </w:r>
          </w:p>
        </w:tc>
        <w:tc>
          <w:tcPr>
            <w:tcW w:w="546" w:type="dxa"/>
          </w:tcPr>
          <w:p>
            <w:pPr>
              <w:pStyle w:val="154"/>
              <w:adjustRightInd w:val="0"/>
              <w:snapToGrid w:val="0"/>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12" w:type="dxa"/>
            <w:vMerge w:val="restart"/>
            <w:vAlign w:val="center"/>
          </w:tcPr>
          <w:p>
            <w:pPr>
              <w:pStyle w:val="154"/>
              <w:adjustRightInd w:val="0"/>
              <w:snapToGrid w:val="0"/>
              <w:jc w:val="center"/>
              <w:rPr>
                <w:color w:val="auto"/>
                <w:sz w:val="21"/>
              </w:rPr>
            </w:pPr>
            <w:r>
              <w:rPr>
                <w:rFonts w:hint="eastAsia"/>
                <w:color w:val="auto"/>
                <w:sz w:val="21"/>
              </w:rPr>
              <w:t>3</w:t>
            </w:r>
          </w:p>
        </w:tc>
        <w:tc>
          <w:tcPr>
            <w:tcW w:w="1104" w:type="dxa"/>
            <w:vMerge w:val="restart"/>
            <w:vAlign w:val="center"/>
          </w:tcPr>
          <w:p>
            <w:pPr>
              <w:pStyle w:val="154"/>
              <w:adjustRightInd w:val="0"/>
              <w:snapToGrid w:val="0"/>
              <w:jc w:val="center"/>
              <w:rPr>
                <w:color w:val="auto"/>
                <w:sz w:val="21"/>
              </w:rPr>
            </w:pPr>
            <w:r>
              <w:rPr>
                <w:rFonts w:hint="eastAsia"/>
                <w:color w:val="auto"/>
                <w:sz w:val="21"/>
              </w:rPr>
              <w:t>响应性评审</w:t>
            </w:r>
          </w:p>
        </w:tc>
        <w:tc>
          <w:tcPr>
            <w:tcW w:w="1512" w:type="dxa"/>
            <w:vAlign w:val="center"/>
          </w:tcPr>
          <w:p>
            <w:pPr>
              <w:pStyle w:val="154"/>
              <w:adjustRightInd w:val="0"/>
              <w:snapToGrid w:val="0"/>
              <w:jc w:val="center"/>
              <w:rPr>
                <w:color w:val="auto"/>
                <w:sz w:val="21"/>
              </w:rPr>
            </w:pPr>
            <w:r>
              <w:rPr>
                <w:rFonts w:hint="eastAsia"/>
                <w:color w:val="auto"/>
                <w:sz w:val="21"/>
              </w:rPr>
              <w:t>响应报价</w:t>
            </w:r>
          </w:p>
        </w:tc>
        <w:tc>
          <w:tcPr>
            <w:tcW w:w="4896" w:type="dxa"/>
            <w:vAlign w:val="center"/>
          </w:tcPr>
          <w:p>
            <w:pPr>
              <w:pStyle w:val="154"/>
              <w:adjustRightInd w:val="0"/>
              <w:snapToGrid w:val="0"/>
              <w:jc w:val="left"/>
              <w:rPr>
                <w:color w:val="auto"/>
                <w:sz w:val="21"/>
              </w:rPr>
            </w:pPr>
            <w:r>
              <w:rPr>
                <w:rFonts w:hint="eastAsia"/>
                <w:color w:val="auto"/>
                <w:sz w:val="21"/>
              </w:rPr>
              <w:t>响应报价不得超过采购预算（最高限价），只能有一个有效报价，不得提交选择性报价。</w:t>
            </w:r>
          </w:p>
        </w:tc>
        <w:tc>
          <w:tcPr>
            <w:tcW w:w="546" w:type="dxa"/>
          </w:tcPr>
          <w:p>
            <w:pPr>
              <w:pStyle w:val="154"/>
              <w:adjustRightInd w:val="0"/>
              <w:snapToGrid w:val="0"/>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12" w:type="dxa"/>
            <w:vMerge w:val="continue"/>
            <w:tcBorders>
              <w:top w:val="nil"/>
            </w:tcBorders>
          </w:tcPr>
          <w:p>
            <w:pPr>
              <w:adjustRightInd w:val="0"/>
              <w:snapToGrid w:val="0"/>
              <w:rPr>
                <w:rFonts w:ascii="宋体" w:hAnsi="宋体" w:cs="宋体"/>
                <w:color w:val="auto"/>
                <w:sz w:val="2"/>
                <w:szCs w:val="2"/>
              </w:rPr>
            </w:pPr>
          </w:p>
        </w:tc>
        <w:tc>
          <w:tcPr>
            <w:tcW w:w="1104" w:type="dxa"/>
            <w:vMerge w:val="continue"/>
            <w:tcBorders>
              <w:top w:val="nil"/>
            </w:tcBorders>
          </w:tcPr>
          <w:p>
            <w:pPr>
              <w:adjustRightInd w:val="0"/>
              <w:snapToGrid w:val="0"/>
              <w:rPr>
                <w:rFonts w:ascii="宋体" w:hAnsi="宋体" w:cs="宋体"/>
                <w:color w:val="auto"/>
                <w:sz w:val="2"/>
                <w:szCs w:val="2"/>
              </w:rPr>
            </w:pPr>
          </w:p>
        </w:tc>
        <w:tc>
          <w:tcPr>
            <w:tcW w:w="1512" w:type="dxa"/>
            <w:vAlign w:val="center"/>
          </w:tcPr>
          <w:p>
            <w:pPr>
              <w:pStyle w:val="154"/>
              <w:adjustRightInd w:val="0"/>
              <w:snapToGrid w:val="0"/>
              <w:jc w:val="center"/>
              <w:rPr>
                <w:color w:val="auto"/>
                <w:sz w:val="21"/>
              </w:rPr>
            </w:pPr>
            <w:r>
              <w:rPr>
                <w:rFonts w:hint="eastAsia"/>
                <w:color w:val="auto"/>
                <w:sz w:val="21"/>
              </w:rPr>
              <w:t>响应文件有效期</w:t>
            </w:r>
          </w:p>
        </w:tc>
        <w:tc>
          <w:tcPr>
            <w:tcW w:w="4896" w:type="dxa"/>
            <w:vAlign w:val="center"/>
          </w:tcPr>
          <w:p>
            <w:pPr>
              <w:pStyle w:val="154"/>
              <w:adjustRightInd w:val="0"/>
              <w:snapToGrid w:val="0"/>
              <w:jc w:val="left"/>
              <w:rPr>
                <w:color w:val="auto"/>
                <w:sz w:val="21"/>
              </w:rPr>
            </w:pPr>
            <w:r>
              <w:rPr>
                <w:rFonts w:hint="eastAsia"/>
                <w:color w:val="auto"/>
                <w:sz w:val="21"/>
              </w:rPr>
              <w:t>应符合磋商文件的要求</w:t>
            </w:r>
          </w:p>
        </w:tc>
        <w:tc>
          <w:tcPr>
            <w:tcW w:w="546" w:type="dxa"/>
          </w:tcPr>
          <w:p>
            <w:pPr>
              <w:pStyle w:val="154"/>
              <w:adjustRightInd w:val="0"/>
              <w:snapToGrid w:val="0"/>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12" w:type="dxa"/>
            <w:vMerge w:val="continue"/>
            <w:tcBorders>
              <w:top w:val="nil"/>
            </w:tcBorders>
          </w:tcPr>
          <w:p>
            <w:pPr>
              <w:adjustRightInd w:val="0"/>
              <w:snapToGrid w:val="0"/>
              <w:rPr>
                <w:rFonts w:ascii="宋体" w:hAnsi="宋体" w:cs="宋体"/>
                <w:color w:val="auto"/>
                <w:sz w:val="2"/>
                <w:szCs w:val="2"/>
              </w:rPr>
            </w:pPr>
          </w:p>
        </w:tc>
        <w:tc>
          <w:tcPr>
            <w:tcW w:w="1104" w:type="dxa"/>
            <w:vMerge w:val="continue"/>
            <w:tcBorders>
              <w:top w:val="nil"/>
            </w:tcBorders>
          </w:tcPr>
          <w:p>
            <w:pPr>
              <w:adjustRightInd w:val="0"/>
              <w:snapToGrid w:val="0"/>
              <w:rPr>
                <w:rFonts w:ascii="宋体" w:hAnsi="宋体" w:cs="宋体"/>
                <w:color w:val="auto"/>
                <w:sz w:val="2"/>
                <w:szCs w:val="2"/>
              </w:rPr>
            </w:pPr>
          </w:p>
        </w:tc>
        <w:tc>
          <w:tcPr>
            <w:tcW w:w="1512" w:type="dxa"/>
            <w:vAlign w:val="center"/>
          </w:tcPr>
          <w:p>
            <w:pPr>
              <w:pStyle w:val="154"/>
              <w:adjustRightInd w:val="0"/>
              <w:snapToGrid w:val="0"/>
              <w:jc w:val="center"/>
              <w:rPr>
                <w:color w:val="auto"/>
                <w:sz w:val="21"/>
              </w:rPr>
            </w:pPr>
            <w:r>
              <w:rPr>
                <w:rFonts w:hint="eastAsia"/>
                <w:color w:val="auto"/>
                <w:sz w:val="21"/>
              </w:rPr>
              <w:t>服务期</w:t>
            </w:r>
          </w:p>
        </w:tc>
        <w:tc>
          <w:tcPr>
            <w:tcW w:w="4896" w:type="dxa"/>
            <w:vAlign w:val="center"/>
          </w:tcPr>
          <w:p>
            <w:pPr>
              <w:pStyle w:val="154"/>
              <w:adjustRightInd w:val="0"/>
              <w:snapToGrid w:val="0"/>
              <w:jc w:val="left"/>
              <w:rPr>
                <w:color w:val="auto"/>
                <w:sz w:val="21"/>
              </w:rPr>
            </w:pPr>
            <w:r>
              <w:rPr>
                <w:rFonts w:hint="eastAsia"/>
                <w:color w:val="auto"/>
                <w:sz w:val="21"/>
              </w:rPr>
              <w:t>应符合磋商文件的要求</w:t>
            </w:r>
          </w:p>
        </w:tc>
        <w:tc>
          <w:tcPr>
            <w:tcW w:w="546" w:type="dxa"/>
          </w:tcPr>
          <w:p>
            <w:pPr>
              <w:pStyle w:val="154"/>
              <w:adjustRightInd w:val="0"/>
              <w:snapToGrid w:val="0"/>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12" w:type="dxa"/>
            <w:vMerge w:val="continue"/>
            <w:tcBorders>
              <w:top w:val="nil"/>
            </w:tcBorders>
          </w:tcPr>
          <w:p>
            <w:pPr>
              <w:adjustRightInd w:val="0"/>
              <w:snapToGrid w:val="0"/>
              <w:rPr>
                <w:rFonts w:ascii="宋体" w:hAnsi="宋体" w:cs="宋体"/>
                <w:color w:val="auto"/>
                <w:sz w:val="2"/>
                <w:szCs w:val="2"/>
              </w:rPr>
            </w:pPr>
          </w:p>
        </w:tc>
        <w:tc>
          <w:tcPr>
            <w:tcW w:w="1104" w:type="dxa"/>
            <w:vMerge w:val="continue"/>
            <w:tcBorders>
              <w:top w:val="nil"/>
            </w:tcBorders>
          </w:tcPr>
          <w:p>
            <w:pPr>
              <w:adjustRightInd w:val="0"/>
              <w:snapToGrid w:val="0"/>
              <w:rPr>
                <w:rFonts w:ascii="宋体" w:hAnsi="宋体" w:cs="宋体"/>
                <w:color w:val="auto"/>
                <w:sz w:val="2"/>
                <w:szCs w:val="2"/>
              </w:rPr>
            </w:pPr>
          </w:p>
        </w:tc>
        <w:tc>
          <w:tcPr>
            <w:tcW w:w="1512" w:type="dxa"/>
            <w:vAlign w:val="center"/>
          </w:tcPr>
          <w:p>
            <w:pPr>
              <w:pStyle w:val="154"/>
              <w:adjustRightInd w:val="0"/>
              <w:snapToGrid w:val="0"/>
              <w:jc w:val="center"/>
              <w:rPr>
                <w:color w:val="auto"/>
                <w:sz w:val="21"/>
              </w:rPr>
            </w:pPr>
            <w:r>
              <w:rPr>
                <w:rFonts w:hint="eastAsia"/>
                <w:color w:val="auto"/>
                <w:sz w:val="21"/>
              </w:rPr>
              <w:t>付款方式</w:t>
            </w:r>
          </w:p>
        </w:tc>
        <w:tc>
          <w:tcPr>
            <w:tcW w:w="4896" w:type="dxa"/>
            <w:vAlign w:val="center"/>
          </w:tcPr>
          <w:p>
            <w:pPr>
              <w:pStyle w:val="154"/>
              <w:adjustRightInd w:val="0"/>
              <w:snapToGrid w:val="0"/>
              <w:jc w:val="left"/>
              <w:rPr>
                <w:color w:val="auto"/>
                <w:sz w:val="21"/>
              </w:rPr>
            </w:pPr>
            <w:r>
              <w:rPr>
                <w:rFonts w:hint="eastAsia"/>
                <w:color w:val="auto"/>
                <w:sz w:val="21"/>
              </w:rPr>
              <w:t>应符合磋商文件的要求</w:t>
            </w:r>
          </w:p>
        </w:tc>
        <w:tc>
          <w:tcPr>
            <w:tcW w:w="546" w:type="dxa"/>
          </w:tcPr>
          <w:p>
            <w:pPr>
              <w:pStyle w:val="154"/>
              <w:adjustRightInd w:val="0"/>
              <w:snapToGrid w:val="0"/>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12" w:type="dxa"/>
            <w:vMerge w:val="continue"/>
            <w:tcBorders>
              <w:top w:val="nil"/>
            </w:tcBorders>
          </w:tcPr>
          <w:p>
            <w:pPr>
              <w:adjustRightInd w:val="0"/>
              <w:snapToGrid w:val="0"/>
              <w:rPr>
                <w:rFonts w:ascii="宋体" w:hAnsi="宋体" w:cs="宋体"/>
                <w:color w:val="auto"/>
                <w:sz w:val="2"/>
                <w:szCs w:val="2"/>
              </w:rPr>
            </w:pPr>
          </w:p>
        </w:tc>
        <w:tc>
          <w:tcPr>
            <w:tcW w:w="1104" w:type="dxa"/>
            <w:vMerge w:val="continue"/>
            <w:tcBorders>
              <w:top w:val="nil"/>
            </w:tcBorders>
          </w:tcPr>
          <w:p>
            <w:pPr>
              <w:adjustRightInd w:val="0"/>
              <w:snapToGrid w:val="0"/>
              <w:rPr>
                <w:rFonts w:ascii="宋体" w:hAnsi="宋体" w:cs="宋体"/>
                <w:color w:val="auto"/>
                <w:sz w:val="2"/>
                <w:szCs w:val="2"/>
              </w:rPr>
            </w:pPr>
          </w:p>
        </w:tc>
        <w:tc>
          <w:tcPr>
            <w:tcW w:w="1512" w:type="dxa"/>
            <w:vAlign w:val="center"/>
          </w:tcPr>
          <w:p>
            <w:pPr>
              <w:pStyle w:val="154"/>
              <w:adjustRightInd w:val="0"/>
              <w:snapToGrid w:val="0"/>
              <w:jc w:val="center"/>
              <w:rPr>
                <w:color w:val="auto"/>
                <w:sz w:val="21"/>
              </w:rPr>
            </w:pPr>
            <w:r>
              <w:rPr>
                <w:rFonts w:hint="eastAsia"/>
                <w:color w:val="auto"/>
                <w:sz w:val="21"/>
              </w:rPr>
              <w:t>服务质量</w:t>
            </w:r>
          </w:p>
        </w:tc>
        <w:tc>
          <w:tcPr>
            <w:tcW w:w="4896" w:type="dxa"/>
            <w:vAlign w:val="center"/>
          </w:tcPr>
          <w:p>
            <w:pPr>
              <w:pStyle w:val="154"/>
              <w:adjustRightInd w:val="0"/>
              <w:snapToGrid w:val="0"/>
              <w:jc w:val="left"/>
              <w:rPr>
                <w:color w:val="auto"/>
                <w:sz w:val="21"/>
              </w:rPr>
            </w:pPr>
            <w:r>
              <w:rPr>
                <w:rFonts w:hint="eastAsia"/>
                <w:color w:val="auto"/>
                <w:sz w:val="21"/>
              </w:rPr>
              <w:t>应符合磋商文件的要求</w:t>
            </w:r>
          </w:p>
        </w:tc>
        <w:tc>
          <w:tcPr>
            <w:tcW w:w="546" w:type="dxa"/>
          </w:tcPr>
          <w:p>
            <w:pPr>
              <w:pStyle w:val="154"/>
              <w:adjustRightInd w:val="0"/>
              <w:snapToGrid w:val="0"/>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12" w:type="dxa"/>
            <w:vMerge w:val="continue"/>
            <w:tcBorders>
              <w:top w:val="nil"/>
            </w:tcBorders>
          </w:tcPr>
          <w:p>
            <w:pPr>
              <w:adjustRightInd w:val="0"/>
              <w:snapToGrid w:val="0"/>
              <w:rPr>
                <w:rFonts w:ascii="宋体" w:hAnsi="宋体" w:cs="宋体"/>
                <w:color w:val="auto"/>
                <w:sz w:val="2"/>
                <w:szCs w:val="2"/>
              </w:rPr>
            </w:pPr>
          </w:p>
        </w:tc>
        <w:tc>
          <w:tcPr>
            <w:tcW w:w="1104" w:type="dxa"/>
            <w:vMerge w:val="continue"/>
            <w:tcBorders>
              <w:top w:val="nil"/>
            </w:tcBorders>
          </w:tcPr>
          <w:p>
            <w:pPr>
              <w:adjustRightInd w:val="0"/>
              <w:snapToGrid w:val="0"/>
              <w:rPr>
                <w:rFonts w:ascii="宋体" w:hAnsi="宋体" w:cs="宋体"/>
                <w:color w:val="auto"/>
                <w:sz w:val="2"/>
                <w:szCs w:val="2"/>
              </w:rPr>
            </w:pPr>
          </w:p>
        </w:tc>
        <w:tc>
          <w:tcPr>
            <w:tcW w:w="1512" w:type="dxa"/>
            <w:vAlign w:val="center"/>
          </w:tcPr>
          <w:p>
            <w:pPr>
              <w:pStyle w:val="154"/>
              <w:adjustRightInd w:val="0"/>
              <w:snapToGrid w:val="0"/>
              <w:jc w:val="center"/>
              <w:rPr>
                <w:color w:val="auto"/>
                <w:sz w:val="21"/>
              </w:rPr>
            </w:pPr>
            <w:r>
              <w:rPr>
                <w:rFonts w:hint="eastAsia"/>
                <w:color w:val="auto"/>
                <w:sz w:val="21"/>
              </w:rPr>
              <w:t>其他要求</w:t>
            </w:r>
          </w:p>
        </w:tc>
        <w:tc>
          <w:tcPr>
            <w:tcW w:w="4896" w:type="dxa"/>
            <w:vAlign w:val="center"/>
          </w:tcPr>
          <w:p>
            <w:pPr>
              <w:pStyle w:val="154"/>
              <w:adjustRightInd w:val="0"/>
              <w:snapToGrid w:val="0"/>
              <w:jc w:val="left"/>
              <w:rPr>
                <w:color w:val="auto"/>
                <w:sz w:val="21"/>
              </w:rPr>
            </w:pPr>
            <w:r>
              <w:rPr>
                <w:rFonts w:hint="eastAsia"/>
                <w:color w:val="auto"/>
                <w:sz w:val="21"/>
              </w:rPr>
              <w:t>磋商文件其他实质性要求</w:t>
            </w:r>
          </w:p>
        </w:tc>
        <w:tc>
          <w:tcPr>
            <w:tcW w:w="546" w:type="dxa"/>
          </w:tcPr>
          <w:p>
            <w:pPr>
              <w:pStyle w:val="154"/>
              <w:adjustRightInd w:val="0"/>
              <w:snapToGrid w:val="0"/>
              <w:rPr>
                <w:color w:val="auto"/>
                <w:sz w:val="20"/>
              </w:rPr>
            </w:pPr>
          </w:p>
        </w:tc>
      </w:tr>
    </w:tbl>
    <w:p>
      <w:pPr>
        <w:spacing w:line="360" w:lineRule="auto"/>
        <w:rPr>
          <w:rFonts w:ascii="宋体" w:hAnsi="宋体" w:cs="宋体"/>
          <w:b/>
          <w:color w:val="auto"/>
        </w:rPr>
      </w:pPr>
    </w:p>
    <w:p>
      <w:pPr>
        <w:spacing w:line="480" w:lineRule="exact"/>
        <w:ind w:firstLine="482"/>
        <w:rPr>
          <w:rFonts w:ascii="宋体" w:hAnsi="宋体" w:cs="宋体"/>
          <w:b/>
          <w:color w:val="auto"/>
          <w:szCs w:val="21"/>
        </w:rPr>
      </w:pPr>
      <w:r>
        <w:rPr>
          <w:rFonts w:hint="eastAsia" w:ascii="宋体" w:hAnsi="宋体" w:cs="宋体"/>
          <w:b/>
          <w:color w:val="auto"/>
          <w:szCs w:val="21"/>
        </w:rPr>
        <w:t>2、磋商程序及要求</w:t>
      </w:r>
    </w:p>
    <w:p>
      <w:pPr>
        <w:spacing w:line="480" w:lineRule="exact"/>
        <w:ind w:firstLine="482"/>
        <w:rPr>
          <w:rFonts w:ascii="宋体" w:hAnsi="宋体" w:cs="宋体"/>
          <w:bCs/>
          <w:color w:val="auto"/>
          <w:szCs w:val="21"/>
        </w:rPr>
      </w:pPr>
      <w:r>
        <w:rPr>
          <w:rFonts w:hint="eastAsia" w:ascii="宋体" w:hAnsi="宋体" w:cs="宋体"/>
          <w:bCs/>
          <w:color w:val="auto"/>
          <w:szCs w:val="21"/>
        </w:rPr>
        <w:t>2.1初步评审合格的供应商进入两阶段磋商程序。</w:t>
      </w:r>
    </w:p>
    <w:p>
      <w:pPr>
        <w:pStyle w:val="2"/>
        <w:spacing w:line="360" w:lineRule="auto"/>
        <w:rPr>
          <w:rFonts w:ascii="宋体" w:hAnsi="宋体" w:eastAsia="宋体" w:cs="宋体"/>
          <w:color w:val="auto"/>
          <w:sz w:val="2"/>
        </w:rPr>
      </w:pPr>
    </w:p>
    <w:tbl>
      <w:tblPr>
        <w:tblStyle w:val="323"/>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468"/>
        <w:gridCol w:w="5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74" w:type="dxa"/>
            <w:vAlign w:val="center"/>
          </w:tcPr>
          <w:p>
            <w:pPr>
              <w:pStyle w:val="2"/>
              <w:adjustRightInd w:val="0"/>
              <w:snapToGrid w:val="0"/>
              <w:rPr>
                <w:rFonts w:ascii="宋体" w:hAnsi="宋体" w:eastAsia="宋体" w:cs="宋体"/>
                <w:bCs/>
                <w:color w:val="auto"/>
                <w:w w:val="100"/>
                <w:sz w:val="21"/>
                <w:szCs w:val="22"/>
              </w:rPr>
            </w:pPr>
            <w:r>
              <w:rPr>
                <w:rFonts w:hint="eastAsia" w:ascii="宋体" w:hAnsi="宋体" w:eastAsia="宋体" w:cs="宋体"/>
                <w:bCs/>
                <w:color w:val="auto"/>
                <w:w w:val="100"/>
                <w:sz w:val="21"/>
                <w:szCs w:val="22"/>
              </w:rPr>
              <w:t>序号</w:t>
            </w:r>
          </w:p>
        </w:tc>
        <w:tc>
          <w:tcPr>
            <w:tcW w:w="1468" w:type="dxa"/>
            <w:vAlign w:val="center"/>
          </w:tcPr>
          <w:p>
            <w:pPr>
              <w:pStyle w:val="154"/>
              <w:adjustRightInd w:val="0"/>
              <w:snapToGrid w:val="0"/>
              <w:jc w:val="center"/>
              <w:rPr>
                <w:b/>
                <w:bCs/>
                <w:color w:val="auto"/>
                <w:sz w:val="21"/>
              </w:rPr>
            </w:pPr>
            <w:r>
              <w:rPr>
                <w:rFonts w:hint="eastAsia"/>
                <w:b/>
                <w:bCs/>
                <w:color w:val="auto"/>
                <w:sz w:val="21"/>
              </w:rPr>
              <w:t>类别</w:t>
            </w:r>
          </w:p>
        </w:tc>
        <w:tc>
          <w:tcPr>
            <w:tcW w:w="5992" w:type="dxa"/>
            <w:vAlign w:val="center"/>
          </w:tcPr>
          <w:p>
            <w:pPr>
              <w:pStyle w:val="154"/>
              <w:adjustRightInd w:val="0"/>
              <w:snapToGrid w:val="0"/>
              <w:jc w:val="center"/>
              <w:rPr>
                <w:b/>
                <w:bCs/>
                <w:color w:val="auto"/>
                <w:sz w:val="21"/>
              </w:rPr>
            </w:pPr>
            <w:r>
              <w:rPr>
                <w:rFonts w:hint="eastAsia"/>
                <w:b/>
                <w:bCs/>
                <w:color w:val="auto"/>
                <w:sz w:val="21"/>
              </w:rPr>
              <w:t>磋商程序（两阶段磋商）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74" w:type="dxa"/>
            <w:vAlign w:val="center"/>
          </w:tcPr>
          <w:p>
            <w:pPr>
              <w:pStyle w:val="154"/>
              <w:adjustRightInd w:val="0"/>
              <w:snapToGrid w:val="0"/>
              <w:jc w:val="center"/>
              <w:rPr>
                <w:color w:val="auto"/>
                <w:sz w:val="21"/>
              </w:rPr>
            </w:pPr>
            <w:r>
              <w:rPr>
                <w:rFonts w:hint="eastAsia"/>
                <w:color w:val="auto"/>
                <w:sz w:val="21"/>
              </w:rPr>
              <w:t>第一阶段</w:t>
            </w:r>
          </w:p>
        </w:tc>
        <w:tc>
          <w:tcPr>
            <w:tcW w:w="1468" w:type="dxa"/>
            <w:vAlign w:val="center"/>
          </w:tcPr>
          <w:p>
            <w:pPr>
              <w:pStyle w:val="154"/>
              <w:adjustRightInd w:val="0"/>
              <w:snapToGrid w:val="0"/>
              <w:jc w:val="center"/>
              <w:rPr>
                <w:color w:val="auto"/>
                <w:spacing w:val="-5"/>
                <w:sz w:val="21"/>
              </w:rPr>
            </w:pPr>
            <w:r>
              <w:rPr>
                <w:rFonts w:hint="eastAsia"/>
                <w:color w:val="auto"/>
                <w:spacing w:val="-5"/>
                <w:sz w:val="21"/>
              </w:rPr>
              <w:t>技术、服务要求方</w:t>
            </w:r>
            <w:r>
              <w:rPr>
                <w:rFonts w:hint="eastAsia"/>
                <w:color w:val="auto"/>
                <w:sz w:val="21"/>
              </w:rPr>
              <w:t>面磋商</w:t>
            </w:r>
          </w:p>
        </w:tc>
        <w:tc>
          <w:tcPr>
            <w:tcW w:w="5992" w:type="dxa"/>
          </w:tcPr>
          <w:p>
            <w:pPr>
              <w:pStyle w:val="154"/>
              <w:adjustRightInd w:val="0"/>
              <w:snapToGrid w:val="0"/>
              <w:rPr>
                <w:color w:val="auto"/>
                <w:sz w:val="21"/>
              </w:rPr>
            </w:pPr>
            <w:r>
              <w:rPr>
                <w:rFonts w:hint="eastAsia"/>
                <w:color w:val="auto"/>
                <w:sz w:val="21"/>
              </w:rPr>
              <w:t>本项目竞争性磋商文件已详细列明采购标的的技术、服务要求，磋商小组原则上不再与各供应商就采购标的的技术、服务要求及拟签订的合同内容进行一对一磋商。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74" w:type="dxa"/>
            <w:vAlign w:val="center"/>
          </w:tcPr>
          <w:p>
            <w:pPr>
              <w:pStyle w:val="154"/>
              <w:adjustRightInd w:val="0"/>
              <w:snapToGrid w:val="0"/>
              <w:jc w:val="center"/>
              <w:rPr>
                <w:color w:val="auto"/>
                <w:sz w:val="21"/>
              </w:rPr>
            </w:pPr>
            <w:r>
              <w:rPr>
                <w:rFonts w:hint="eastAsia"/>
                <w:color w:val="auto"/>
                <w:sz w:val="21"/>
              </w:rPr>
              <w:t>第二阶段</w:t>
            </w:r>
          </w:p>
        </w:tc>
        <w:tc>
          <w:tcPr>
            <w:tcW w:w="1468" w:type="dxa"/>
            <w:vAlign w:val="center"/>
          </w:tcPr>
          <w:p>
            <w:pPr>
              <w:pStyle w:val="154"/>
              <w:adjustRightInd w:val="0"/>
              <w:snapToGrid w:val="0"/>
              <w:ind w:hanging="210"/>
              <w:jc w:val="center"/>
              <w:rPr>
                <w:color w:val="auto"/>
                <w:sz w:val="21"/>
              </w:rPr>
            </w:pPr>
            <w:r>
              <w:rPr>
                <w:rFonts w:hint="eastAsia"/>
                <w:color w:val="auto"/>
                <w:sz w:val="21"/>
              </w:rPr>
              <w:t>价格方面磋商</w:t>
            </w:r>
          </w:p>
        </w:tc>
        <w:tc>
          <w:tcPr>
            <w:tcW w:w="5992" w:type="dxa"/>
          </w:tcPr>
          <w:p>
            <w:pPr>
              <w:pStyle w:val="154"/>
              <w:adjustRightInd w:val="0"/>
              <w:snapToGrid w:val="0"/>
              <w:rPr>
                <w:color w:val="auto"/>
                <w:sz w:val="21"/>
              </w:rPr>
            </w:pPr>
            <w:r>
              <w:rPr>
                <w:rFonts w:hint="eastAsia"/>
                <w:color w:val="auto"/>
                <w:sz w:val="21"/>
              </w:rPr>
              <w:t>由于本项目竞争性磋商文件已能够较详细的列明采购标的的服务方案、内容以及合同条款，在服务方案、内容以及合同条款不变的情况下，各供应商响应文件中的首轮报价即作为最终报价。</w:t>
            </w:r>
          </w:p>
        </w:tc>
      </w:tr>
    </w:tbl>
    <w:p>
      <w:pPr>
        <w:spacing w:line="480" w:lineRule="exact"/>
        <w:ind w:firstLine="482"/>
        <w:rPr>
          <w:rFonts w:ascii="宋体" w:hAnsi="宋体" w:cs="宋体"/>
          <w:bCs/>
          <w:color w:val="auto"/>
          <w:szCs w:val="21"/>
        </w:rPr>
      </w:pPr>
      <w:r>
        <w:rPr>
          <w:rFonts w:hint="eastAsia" w:ascii="宋体" w:hAnsi="宋体" w:cs="宋体"/>
          <w:bCs/>
          <w:color w:val="auto"/>
          <w:szCs w:val="21"/>
        </w:rPr>
        <w:t>2.2两阶段磋商程序后，磋商小组采用综合评分法对响应文件进行综合评分。</w:t>
      </w:r>
    </w:p>
    <w:p>
      <w:pPr>
        <w:spacing w:line="480" w:lineRule="exact"/>
        <w:ind w:firstLine="482"/>
        <w:rPr>
          <w:rFonts w:ascii="宋体" w:hAnsi="宋体" w:cs="宋体"/>
          <w:b/>
          <w:color w:val="auto"/>
          <w:szCs w:val="21"/>
        </w:rPr>
      </w:pPr>
      <w:r>
        <w:rPr>
          <w:rFonts w:hint="eastAsia" w:ascii="宋体" w:hAnsi="宋体" w:cs="宋体"/>
          <w:b/>
          <w:color w:val="auto"/>
          <w:szCs w:val="21"/>
        </w:rPr>
        <w:t>3、详细评审标准</w:t>
      </w:r>
    </w:p>
    <w:p>
      <w:pPr>
        <w:pStyle w:val="154"/>
        <w:spacing w:line="360" w:lineRule="auto"/>
        <w:ind w:firstLine="420" w:firstLineChars="200"/>
        <w:rPr>
          <w:color w:val="auto"/>
          <w:sz w:val="21"/>
          <w:szCs w:val="20"/>
        </w:rPr>
      </w:pPr>
      <w:r>
        <w:rPr>
          <w:rFonts w:hint="eastAsia"/>
          <w:bCs/>
          <w:color w:val="auto"/>
          <w:sz w:val="21"/>
          <w:szCs w:val="21"/>
        </w:rPr>
        <w:t>分值构成：总分 100 分，商务报价部分：10 分，商务技术部分：90 分。</w:t>
      </w:r>
    </w:p>
    <w:p>
      <w:pPr>
        <w:spacing w:line="480" w:lineRule="exact"/>
        <w:ind w:firstLine="482"/>
        <w:rPr>
          <w:rFonts w:ascii="宋体" w:hAnsi="宋体" w:cs="宋体"/>
          <w:b/>
          <w:color w:val="auto"/>
          <w:szCs w:val="21"/>
        </w:rPr>
      </w:pPr>
      <w:r>
        <w:rPr>
          <w:rFonts w:hint="eastAsia" w:ascii="宋体" w:hAnsi="宋体" w:cs="宋体"/>
          <w:b/>
          <w:color w:val="auto"/>
          <w:szCs w:val="21"/>
        </w:rPr>
        <w:t>商务报价得分计算方法：</w:t>
      </w:r>
    </w:p>
    <w:p>
      <w:pPr>
        <w:pStyle w:val="154"/>
        <w:spacing w:line="360" w:lineRule="auto"/>
        <w:ind w:firstLine="420" w:firstLineChars="200"/>
        <w:rPr>
          <w:bCs/>
          <w:color w:val="auto"/>
          <w:sz w:val="21"/>
          <w:szCs w:val="21"/>
        </w:rPr>
      </w:pPr>
      <w:r>
        <w:rPr>
          <w:rFonts w:hint="eastAsia"/>
          <w:bCs/>
          <w:color w:val="auto"/>
          <w:sz w:val="21"/>
          <w:szCs w:val="21"/>
        </w:rPr>
        <w:t>满足磋商文件要求且各家报价的最低价为响应基准价，其价格分为满分，其他响应报价得分统一按照下列公式计算：响应报价得分=（基准价/响应报价）×10。</w:t>
      </w:r>
    </w:p>
    <w:p>
      <w:pPr>
        <w:spacing w:line="480" w:lineRule="exact"/>
        <w:ind w:firstLine="482"/>
        <w:rPr>
          <w:rFonts w:ascii="宋体" w:hAnsi="宋体" w:cs="宋体"/>
          <w:b/>
          <w:color w:val="auto"/>
          <w:szCs w:val="21"/>
        </w:rPr>
      </w:pPr>
      <w:r>
        <w:rPr>
          <w:rFonts w:hint="eastAsia" w:ascii="宋体" w:hAnsi="宋体" w:cs="宋体"/>
          <w:b/>
          <w:color w:val="auto"/>
          <w:szCs w:val="21"/>
        </w:rPr>
        <w:t>商务技术得分计算方法：</w:t>
      </w:r>
    </w:p>
    <w:p>
      <w:pPr>
        <w:pStyle w:val="49"/>
        <w:rPr>
          <w:rFonts w:ascii="宋体" w:hAnsi="宋体" w:cs="宋体"/>
          <w:bCs/>
          <w:color w:val="auto"/>
          <w:szCs w:val="21"/>
        </w:rPr>
      </w:pPr>
      <w:r>
        <w:rPr>
          <w:rFonts w:hint="eastAsia" w:ascii="宋体" w:hAnsi="宋体" w:cs="宋体"/>
          <w:bCs/>
          <w:color w:val="auto"/>
          <w:szCs w:val="21"/>
        </w:rPr>
        <w:t>先由磋商小组对每个供应商独立打分，然后取所有磋商小组评分的</w:t>
      </w:r>
      <w:r>
        <w:rPr>
          <w:rFonts w:hint="eastAsia" w:ascii="宋体" w:hAnsi="宋体" w:cs="宋体"/>
          <w:bCs/>
          <w:color w:val="auto"/>
          <w:szCs w:val="21"/>
          <w:lang w:val="en-US" w:eastAsia="zh-CN"/>
        </w:rPr>
        <w:t>总和</w:t>
      </w:r>
      <w:r>
        <w:rPr>
          <w:rFonts w:hint="eastAsia" w:ascii="宋体" w:hAnsi="宋体" w:cs="宋体"/>
          <w:bCs/>
          <w:color w:val="auto"/>
          <w:szCs w:val="21"/>
        </w:rPr>
        <w:t>。磋商小组根据供应商最终综合得分（商务技术得分+报价得分，取小数点后两位，第三位四舍五入） 由高到低推荐 3 名有排序的成交候选供应商。若出现综合得分相同的情况，则按报价低的列前；最后报价也相等的，则采取供应商抽签方式确定成交候选人排序。</w:t>
      </w:r>
    </w:p>
    <w:p>
      <w:pPr>
        <w:spacing w:before="240" w:after="120" w:line="480" w:lineRule="atLeast"/>
        <w:ind w:firstLine="308" w:firstLineChars="147"/>
        <w:rPr>
          <w:rFonts w:ascii="宋体" w:hAnsi="宋体" w:cs="宋体"/>
          <w:bCs/>
          <w:color w:val="auto"/>
          <w:szCs w:val="21"/>
        </w:rPr>
      </w:pPr>
      <w:r>
        <w:rPr>
          <w:rFonts w:hint="eastAsia" w:ascii="宋体" w:hAnsi="宋体" w:cs="宋体"/>
          <w:bCs/>
          <w:color w:val="auto"/>
          <w:szCs w:val="21"/>
        </w:rPr>
        <w:t>评分细则</w:t>
      </w:r>
    </w:p>
    <w:tbl>
      <w:tblPr>
        <w:tblStyle w:val="5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5"/>
        <w:gridCol w:w="5956"/>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71" w:type="dxa"/>
            <w:shd w:val="clear" w:color="auto" w:fill="F2F2F2"/>
            <w:vAlign w:val="center"/>
          </w:tcPr>
          <w:p>
            <w:pPr>
              <w:keepNext w:val="0"/>
              <w:keepLines w:val="0"/>
              <w:suppressLineNumbers w:val="0"/>
              <w:spacing w:before="240" w:beforeAutospacing="0" w:after="120" w:afterAutospacing="0" w:line="480" w:lineRule="atLeast"/>
              <w:ind w:left="0" w:right="0"/>
              <w:jc w:val="center"/>
              <w:rPr>
                <w:rFonts w:ascii="宋体" w:hAnsi="宋体"/>
                <w:b/>
                <w:color w:val="auto"/>
                <w:sz w:val="28"/>
                <w:szCs w:val="28"/>
              </w:rPr>
            </w:pPr>
            <w:bookmarkStart w:id="20" w:name="_Hlk83395767"/>
            <w:r>
              <w:rPr>
                <w:rFonts w:ascii="宋体" w:hAnsi="宋体"/>
                <w:b/>
                <w:color w:val="auto"/>
                <w:sz w:val="28"/>
                <w:szCs w:val="28"/>
              </w:rPr>
              <w:t>类别</w:t>
            </w:r>
          </w:p>
        </w:tc>
        <w:tc>
          <w:tcPr>
            <w:tcW w:w="1415" w:type="dxa"/>
            <w:shd w:val="clear" w:color="auto" w:fill="F2F2F2"/>
            <w:vAlign w:val="center"/>
          </w:tcPr>
          <w:p>
            <w:pPr>
              <w:keepNext w:val="0"/>
              <w:keepLines w:val="0"/>
              <w:suppressLineNumbers w:val="0"/>
              <w:spacing w:before="240" w:beforeAutospacing="0" w:after="120" w:afterAutospacing="0" w:line="480" w:lineRule="atLeast"/>
              <w:ind w:left="0" w:right="0"/>
              <w:jc w:val="center"/>
              <w:rPr>
                <w:rFonts w:ascii="宋体" w:hAnsi="宋体"/>
                <w:b/>
                <w:color w:val="auto"/>
                <w:sz w:val="28"/>
                <w:szCs w:val="28"/>
              </w:rPr>
            </w:pPr>
            <w:r>
              <w:rPr>
                <w:rFonts w:ascii="宋体" w:hAnsi="宋体"/>
                <w:b/>
                <w:color w:val="auto"/>
                <w:sz w:val="28"/>
                <w:szCs w:val="28"/>
              </w:rPr>
              <w:t>评分内容</w:t>
            </w:r>
          </w:p>
        </w:tc>
        <w:tc>
          <w:tcPr>
            <w:tcW w:w="5956" w:type="dxa"/>
            <w:shd w:val="clear" w:color="auto" w:fill="F2F2F2"/>
            <w:vAlign w:val="center"/>
          </w:tcPr>
          <w:p>
            <w:pPr>
              <w:keepNext w:val="0"/>
              <w:keepLines w:val="0"/>
              <w:suppressLineNumbers w:val="0"/>
              <w:spacing w:before="240" w:beforeAutospacing="0" w:after="120" w:afterAutospacing="0" w:line="480" w:lineRule="atLeast"/>
              <w:ind w:left="0" w:right="0"/>
              <w:jc w:val="center"/>
              <w:rPr>
                <w:rFonts w:ascii="宋体" w:hAnsi="宋体"/>
                <w:b/>
                <w:color w:val="auto"/>
                <w:sz w:val="28"/>
                <w:szCs w:val="28"/>
              </w:rPr>
            </w:pPr>
            <w:r>
              <w:rPr>
                <w:rFonts w:ascii="宋体" w:hAnsi="宋体"/>
                <w:b/>
                <w:color w:val="auto"/>
                <w:sz w:val="28"/>
                <w:szCs w:val="28"/>
              </w:rPr>
              <w:t>评分标准</w:t>
            </w:r>
          </w:p>
        </w:tc>
        <w:tc>
          <w:tcPr>
            <w:tcW w:w="997" w:type="dxa"/>
            <w:shd w:val="clear" w:color="auto" w:fill="F2F2F2"/>
            <w:vAlign w:val="center"/>
          </w:tcPr>
          <w:p>
            <w:pPr>
              <w:keepNext w:val="0"/>
              <w:keepLines w:val="0"/>
              <w:suppressLineNumbers w:val="0"/>
              <w:spacing w:before="240" w:beforeAutospacing="0" w:after="120" w:afterAutospacing="0" w:line="480" w:lineRule="atLeast"/>
              <w:ind w:left="0" w:right="0"/>
              <w:jc w:val="center"/>
              <w:rPr>
                <w:rFonts w:ascii="宋体" w:hAnsi="宋体"/>
                <w:b/>
                <w:color w:val="auto"/>
                <w:sz w:val="28"/>
                <w:szCs w:val="28"/>
              </w:rPr>
            </w:pPr>
            <w:r>
              <w:rPr>
                <w:rFonts w:ascii="宋体" w:hAnsi="宋体"/>
                <w:b/>
                <w:color w:val="auto"/>
                <w:sz w:val="28"/>
                <w:szCs w:val="28"/>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keepNext w:val="0"/>
              <w:keepLines w:val="0"/>
              <w:suppressLineNumbers w:val="0"/>
              <w:spacing w:before="240" w:beforeAutospacing="0" w:after="120" w:afterAutospacing="0" w:line="480" w:lineRule="atLeast"/>
              <w:ind w:left="0" w:right="0"/>
              <w:jc w:val="center"/>
              <w:rPr>
                <w:rFonts w:ascii="宋体" w:hAnsi="宋体"/>
                <w:color w:val="auto"/>
                <w:sz w:val="22"/>
                <w:szCs w:val="22"/>
              </w:rPr>
            </w:pPr>
            <w:r>
              <w:rPr>
                <w:rFonts w:ascii="宋体" w:hAnsi="宋体"/>
                <w:color w:val="auto"/>
                <w:sz w:val="22"/>
                <w:szCs w:val="22"/>
              </w:rPr>
              <w:t>技术分（35分）</w:t>
            </w:r>
          </w:p>
        </w:tc>
        <w:tc>
          <w:tcPr>
            <w:tcW w:w="1415" w:type="dxa"/>
            <w:vAlign w:val="center"/>
          </w:tcPr>
          <w:p>
            <w:pPr>
              <w:keepNext w:val="0"/>
              <w:keepLines w:val="0"/>
              <w:suppressLineNumbers w:val="0"/>
              <w:spacing w:before="240" w:beforeAutospacing="0" w:after="120" w:afterAutospacing="0" w:line="480" w:lineRule="atLeast"/>
              <w:ind w:left="0" w:right="0"/>
              <w:jc w:val="center"/>
              <w:rPr>
                <w:rFonts w:ascii="宋体" w:hAnsi="宋体"/>
                <w:color w:val="auto"/>
                <w:sz w:val="22"/>
                <w:szCs w:val="22"/>
              </w:rPr>
            </w:pPr>
            <w:r>
              <w:rPr>
                <w:rFonts w:ascii="宋体" w:hAnsi="宋体"/>
                <w:color w:val="auto"/>
                <w:sz w:val="22"/>
                <w:szCs w:val="22"/>
              </w:rPr>
              <w:t>服务方案</w:t>
            </w:r>
          </w:p>
        </w:tc>
        <w:tc>
          <w:tcPr>
            <w:tcW w:w="5956" w:type="dxa"/>
            <w:vAlign w:val="center"/>
          </w:tcPr>
          <w:p>
            <w:pPr>
              <w:keepNext w:val="0"/>
              <w:keepLines w:val="0"/>
              <w:suppressLineNumbers w:val="0"/>
              <w:spacing w:before="240" w:beforeAutospacing="0" w:after="120" w:afterAutospacing="0" w:line="480" w:lineRule="atLeast"/>
              <w:ind w:left="0" w:right="0"/>
              <w:rPr>
                <w:rFonts w:ascii="宋体" w:hAnsi="宋体"/>
                <w:color w:val="auto"/>
                <w:sz w:val="22"/>
                <w:szCs w:val="22"/>
              </w:rPr>
            </w:pPr>
            <w:r>
              <w:rPr>
                <w:rFonts w:ascii="宋体" w:hAnsi="宋体"/>
                <w:color w:val="auto"/>
                <w:sz w:val="22"/>
                <w:szCs w:val="22"/>
              </w:rPr>
              <w:t>1、服务方案工作范围清晰，具有完整的测评服务方案、项目实施计划、测评方法、风险说明及风险规避处置措施，测评内容可行性合理。评委对各家服务方案进行横向比较：</w:t>
            </w:r>
          </w:p>
          <w:p>
            <w:pPr>
              <w:keepNext w:val="0"/>
              <w:keepLines w:val="0"/>
              <w:suppressLineNumbers w:val="0"/>
              <w:spacing w:before="240" w:beforeAutospacing="0" w:after="120" w:afterAutospacing="0" w:line="480" w:lineRule="atLeast"/>
              <w:ind w:left="0" w:right="0"/>
              <w:rPr>
                <w:rFonts w:ascii="宋体" w:hAnsi="宋体"/>
                <w:color w:val="auto"/>
                <w:sz w:val="22"/>
                <w:szCs w:val="22"/>
              </w:rPr>
            </w:pPr>
            <w:r>
              <w:rPr>
                <w:rFonts w:ascii="宋体" w:hAnsi="宋体"/>
                <w:color w:val="auto"/>
                <w:sz w:val="22"/>
                <w:szCs w:val="22"/>
              </w:rPr>
              <w:t>方案全面、合理、准确，完全符合</w:t>
            </w:r>
            <w:r>
              <w:rPr>
                <w:rFonts w:ascii="宋体" w:hAnsi="宋体" w:cs="仿宋"/>
                <w:color w:val="auto"/>
                <w:sz w:val="22"/>
                <w:szCs w:val="22"/>
              </w:rPr>
              <w:t>竞争性磋商</w:t>
            </w:r>
            <w:r>
              <w:rPr>
                <w:rFonts w:ascii="宋体" w:hAnsi="宋体"/>
                <w:color w:val="auto"/>
                <w:sz w:val="22"/>
                <w:szCs w:val="22"/>
              </w:rPr>
              <w:t>文件要求，得15分；较合理、准确，基本符合</w:t>
            </w:r>
            <w:r>
              <w:rPr>
                <w:rFonts w:ascii="宋体" w:hAnsi="宋体" w:cs="仿宋"/>
                <w:color w:val="auto"/>
                <w:sz w:val="22"/>
                <w:szCs w:val="22"/>
              </w:rPr>
              <w:t>竞争性磋商</w:t>
            </w:r>
            <w:r>
              <w:rPr>
                <w:rFonts w:ascii="宋体" w:hAnsi="宋体"/>
                <w:color w:val="auto"/>
                <w:sz w:val="22"/>
                <w:szCs w:val="22"/>
              </w:rPr>
              <w:t>文件要求，得1</w:t>
            </w:r>
            <w:r>
              <w:rPr>
                <w:rFonts w:hint="eastAsia" w:ascii="宋体" w:hAnsi="宋体"/>
                <w:color w:val="auto"/>
                <w:sz w:val="22"/>
                <w:szCs w:val="22"/>
                <w:lang w:val="en-US" w:eastAsia="zh-CN"/>
              </w:rPr>
              <w:t>2</w:t>
            </w:r>
            <w:r>
              <w:rPr>
                <w:rFonts w:ascii="宋体" w:hAnsi="宋体"/>
                <w:color w:val="auto"/>
                <w:sz w:val="22"/>
                <w:szCs w:val="22"/>
              </w:rPr>
              <w:t>分；基本合理、准确，部分符合</w:t>
            </w:r>
            <w:r>
              <w:rPr>
                <w:rFonts w:ascii="宋体" w:hAnsi="宋体" w:cs="仿宋"/>
                <w:color w:val="auto"/>
                <w:sz w:val="22"/>
                <w:szCs w:val="22"/>
              </w:rPr>
              <w:t>竞争性磋商</w:t>
            </w:r>
            <w:r>
              <w:rPr>
                <w:rFonts w:ascii="宋体" w:hAnsi="宋体"/>
                <w:color w:val="auto"/>
                <w:sz w:val="22"/>
                <w:szCs w:val="22"/>
              </w:rPr>
              <w:t>文件要求，得</w:t>
            </w:r>
            <w:r>
              <w:rPr>
                <w:rFonts w:hint="eastAsia" w:ascii="宋体" w:hAnsi="宋体"/>
                <w:color w:val="auto"/>
                <w:sz w:val="22"/>
                <w:szCs w:val="22"/>
                <w:lang w:val="en-US" w:eastAsia="zh-CN"/>
              </w:rPr>
              <w:t>9</w:t>
            </w:r>
            <w:r>
              <w:rPr>
                <w:rFonts w:ascii="宋体" w:hAnsi="宋体"/>
                <w:color w:val="auto"/>
                <w:sz w:val="22"/>
                <w:szCs w:val="22"/>
              </w:rPr>
              <w:t>分；差或未提供不得分。</w:t>
            </w:r>
          </w:p>
          <w:p>
            <w:pPr>
              <w:keepNext w:val="0"/>
              <w:keepLines w:val="0"/>
              <w:suppressLineNumbers w:val="0"/>
              <w:spacing w:before="240" w:beforeAutospacing="0" w:after="120" w:afterAutospacing="0" w:line="480" w:lineRule="atLeast"/>
              <w:ind w:left="0" w:right="0"/>
              <w:rPr>
                <w:rFonts w:ascii="宋体" w:hAnsi="宋体"/>
                <w:color w:val="auto"/>
                <w:sz w:val="22"/>
                <w:szCs w:val="22"/>
              </w:rPr>
            </w:pPr>
            <w:r>
              <w:rPr>
                <w:rFonts w:ascii="宋体" w:hAnsi="宋体"/>
                <w:color w:val="auto"/>
                <w:sz w:val="22"/>
                <w:szCs w:val="22"/>
              </w:rPr>
              <w:t>2、项目管理方案：工作范围清晰，具有完整的项目管理方法论和内容。评委对各家项目管理方案进行横向比较：</w:t>
            </w:r>
          </w:p>
          <w:p>
            <w:pPr>
              <w:keepNext w:val="0"/>
              <w:keepLines w:val="0"/>
              <w:suppressLineNumbers w:val="0"/>
              <w:spacing w:before="240" w:beforeAutospacing="0" w:after="120" w:afterAutospacing="0" w:line="480" w:lineRule="atLeast"/>
              <w:ind w:left="0" w:right="0"/>
              <w:rPr>
                <w:rFonts w:ascii="宋体" w:hAnsi="宋体"/>
                <w:color w:val="auto"/>
                <w:sz w:val="22"/>
                <w:szCs w:val="22"/>
              </w:rPr>
            </w:pPr>
            <w:r>
              <w:rPr>
                <w:rFonts w:ascii="宋体" w:hAnsi="宋体"/>
                <w:color w:val="auto"/>
                <w:sz w:val="22"/>
                <w:szCs w:val="22"/>
              </w:rPr>
              <w:t>方案全面、合理、准确，完全符合</w:t>
            </w:r>
            <w:r>
              <w:rPr>
                <w:rFonts w:ascii="宋体" w:hAnsi="宋体" w:cs="仿宋"/>
                <w:color w:val="auto"/>
                <w:sz w:val="22"/>
                <w:szCs w:val="22"/>
              </w:rPr>
              <w:t>竞争性磋商</w:t>
            </w:r>
            <w:r>
              <w:rPr>
                <w:rFonts w:ascii="宋体" w:hAnsi="宋体"/>
                <w:color w:val="auto"/>
                <w:sz w:val="22"/>
                <w:szCs w:val="22"/>
              </w:rPr>
              <w:t>文件要求，得5分；较合理、准确，基本符合</w:t>
            </w:r>
            <w:r>
              <w:rPr>
                <w:rFonts w:ascii="宋体" w:hAnsi="宋体" w:cs="仿宋"/>
                <w:color w:val="auto"/>
                <w:sz w:val="22"/>
                <w:szCs w:val="22"/>
              </w:rPr>
              <w:t>竞争性磋商</w:t>
            </w:r>
            <w:r>
              <w:rPr>
                <w:rFonts w:ascii="宋体" w:hAnsi="宋体"/>
                <w:color w:val="auto"/>
                <w:sz w:val="22"/>
                <w:szCs w:val="22"/>
              </w:rPr>
              <w:t>文件要求，得3分；基本合理、准确，部分符合</w:t>
            </w:r>
            <w:r>
              <w:rPr>
                <w:rFonts w:ascii="宋体" w:hAnsi="宋体" w:cs="仿宋"/>
                <w:color w:val="auto"/>
                <w:sz w:val="22"/>
                <w:szCs w:val="22"/>
              </w:rPr>
              <w:t>竞争性磋商</w:t>
            </w:r>
            <w:r>
              <w:rPr>
                <w:rFonts w:ascii="宋体" w:hAnsi="宋体"/>
                <w:color w:val="auto"/>
                <w:sz w:val="22"/>
                <w:szCs w:val="22"/>
              </w:rPr>
              <w:t>文件要求，得1分；差或未提供不得分。</w:t>
            </w:r>
          </w:p>
        </w:tc>
        <w:tc>
          <w:tcPr>
            <w:tcW w:w="997" w:type="dxa"/>
            <w:vAlign w:val="center"/>
          </w:tcPr>
          <w:p>
            <w:pPr>
              <w:keepNext w:val="0"/>
              <w:keepLines w:val="0"/>
              <w:suppressLineNumbers w:val="0"/>
              <w:spacing w:before="240" w:beforeAutospacing="0" w:after="120" w:afterAutospacing="0" w:line="480" w:lineRule="atLeast"/>
              <w:ind w:left="0" w:right="0"/>
              <w:jc w:val="center"/>
              <w:rPr>
                <w:rFonts w:ascii="宋体" w:hAnsi="宋体"/>
                <w:color w:val="auto"/>
                <w:sz w:val="22"/>
                <w:szCs w:val="22"/>
              </w:rPr>
            </w:pPr>
            <w:r>
              <w:rPr>
                <w:rFonts w:ascii="宋体" w:hAnsi="宋体"/>
                <w:color w:val="auto"/>
                <w:sz w:val="22"/>
                <w:szCs w:val="22"/>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keepNext w:val="0"/>
              <w:keepLines w:val="0"/>
              <w:suppressLineNumbers w:val="0"/>
              <w:spacing w:before="240" w:beforeAutospacing="0" w:after="120" w:afterAutospacing="0" w:line="480" w:lineRule="atLeast"/>
              <w:ind w:left="0" w:right="0"/>
              <w:jc w:val="center"/>
              <w:rPr>
                <w:rFonts w:ascii="宋体" w:hAnsi="宋体"/>
                <w:color w:val="auto"/>
                <w:sz w:val="28"/>
                <w:szCs w:val="28"/>
              </w:rPr>
            </w:pPr>
          </w:p>
        </w:tc>
        <w:tc>
          <w:tcPr>
            <w:tcW w:w="1415" w:type="dxa"/>
            <w:vAlign w:val="center"/>
          </w:tcPr>
          <w:p>
            <w:pPr>
              <w:keepNext w:val="0"/>
              <w:keepLines w:val="0"/>
              <w:suppressLineNumbers w:val="0"/>
              <w:spacing w:before="240" w:beforeAutospacing="0" w:after="120" w:afterAutospacing="0" w:line="480" w:lineRule="atLeast"/>
              <w:ind w:left="0" w:right="0"/>
              <w:jc w:val="center"/>
              <w:rPr>
                <w:rFonts w:ascii="宋体" w:hAnsi="宋体"/>
                <w:color w:val="auto"/>
                <w:sz w:val="22"/>
                <w:szCs w:val="22"/>
              </w:rPr>
            </w:pPr>
            <w:r>
              <w:rPr>
                <w:rFonts w:ascii="宋体" w:hAnsi="宋体"/>
                <w:color w:val="auto"/>
                <w:sz w:val="22"/>
                <w:szCs w:val="22"/>
              </w:rPr>
              <w:t>项目人员</w:t>
            </w:r>
          </w:p>
        </w:tc>
        <w:tc>
          <w:tcPr>
            <w:tcW w:w="5956" w:type="dxa"/>
            <w:vAlign w:val="center"/>
          </w:tcPr>
          <w:p>
            <w:pPr>
              <w:keepNext w:val="0"/>
              <w:keepLines w:val="0"/>
              <w:suppressLineNumbers w:val="0"/>
              <w:spacing w:before="240" w:beforeAutospacing="0" w:after="120" w:afterAutospacing="0" w:line="480" w:lineRule="atLeast"/>
              <w:ind w:left="0" w:right="0"/>
              <w:rPr>
                <w:rFonts w:ascii="宋体" w:hAnsi="宋体"/>
                <w:color w:val="auto"/>
                <w:sz w:val="22"/>
                <w:szCs w:val="22"/>
              </w:rPr>
            </w:pPr>
            <w:r>
              <w:rPr>
                <w:rFonts w:ascii="宋体" w:hAnsi="宋体"/>
                <w:color w:val="auto"/>
                <w:sz w:val="22"/>
                <w:szCs w:val="22"/>
              </w:rPr>
              <w:t>投标人针对本项目需求拟配备的项目团队应设置质量经理、项目经理等，具体评审指标如下：</w:t>
            </w:r>
          </w:p>
          <w:p>
            <w:pPr>
              <w:keepNext w:val="0"/>
              <w:keepLines w:val="0"/>
              <w:suppressLineNumbers w:val="0"/>
              <w:spacing w:before="240" w:beforeAutospacing="0" w:after="120" w:afterAutospacing="0" w:line="480" w:lineRule="atLeast"/>
              <w:ind w:left="0" w:right="0"/>
              <w:rPr>
                <w:rFonts w:ascii="宋体" w:hAnsi="宋体"/>
                <w:b/>
                <w:color w:val="auto"/>
                <w:sz w:val="22"/>
                <w:szCs w:val="22"/>
              </w:rPr>
            </w:pPr>
            <w:r>
              <w:rPr>
                <w:rFonts w:ascii="宋体" w:hAnsi="宋体"/>
                <w:color w:val="auto"/>
                <w:sz w:val="22"/>
                <w:szCs w:val="22"/>
              </w:rPr>
              <w:t>1、</w:t>
            </w:r>
            <w:r>
              <w:rPr>
                <w:rFonts w:ascii="宋体" w:hAnsi="宋体"/>
                <w:b/>
                <w:color w:val="auto"/>
                <w:sz w:val="22"/>
                <w:szCs w:val="22"/>
              </w:rPr>
              <w:t>质量经理（1人，本小项满分5分）：</w:t>
            </w:r>
          </w:p>
          <w:p>
            <w:pPr>
              <w:keepNext w:val="0"/>
              <w:keepLines w:val="0"/>
              <w:numPr>
                <w:ilvl w:val="0"/>
                <w:numId w:val="17"/>
              </w:numPr>
              <w:suppressLineNumbers w:val="0"/>
              <w:autoSpaceDE w:val="0"/>
              <w:autoSpaceDN w:val="0"/>
              <w:spacing w:before="240" w:beforeAutospacing="0" w:after="120" w:afterAutospacing="0" w:line="480" w:lineRule="atLeast"/>
              <w:ind w:left="0" w:right="0"/>
              <w:jc w:val="left"/>
              <w:rPr>
                <w:rFonts w:ascii="宋体" w:hAnsi="宋体"/>
                <w:color w:val="auto"/>
                <w:sz w:val="22"/>
                <w:szCs w:val="22"/>
              </w:rPr>
            </w:pPr>
            <w:r>
              <w:rPr>
                <w:rFonts w:ascii="宋体" w:hAnsi="宋体"/>
                <w:color w:val="auto"/>
                <w:sz w:val="22"/>
                <w:szCs w:val="22"/>
              </w:rPr>
              <w:t>具有中级（含）以上等级测评师证书，得1分；</w:t>
            </w:r>
          </w:p>
          <w:p>
            <w:pPr>
              <w:keepNext w:val="0"/>
              <w:keepLines w:val="0"/>
              <w:numPr>
                <w:ilvl w:val="0"/>
                <w:numId w:val="17"/>
              </w:numPr>
              <w:suppressLineNumbers w:val="0"/>
              <w:autoSpaceDE w:val="0"/>
              <w:autoSpaceDN w:val="0"/>
              <w:spacing w:before="240" w:beforeAutospacing="0" w:after="120" w:afterAutospacing="0" w:line="480" w:lineRule="atLeast"/>
              <w:ind w:left="0" w:right="0"/>
              <w:jc w:val="left"/>
              <w:rPr>
                <w:rFonts w:ascii="宋体" w:hAnsi="宋体"/>
                <w:color w:val="auto"/>
                <w:sz w:val="22"/>
                <w:szCs w:val="22"/>
              </w:rPr>
            </w:pPr>
            <w:r>
              <w:rPr>
                <w:rFonts w:ascii="宋体" w:hAnsi="宋体"/>
                <w:color w:val="auto"/>
                <w:sz w:val="22"/>
                <w:szCs w:val="22"/>
              </w:rPr>
              <w:t>具有注册信息安全专业人员（CISP）证书，得2分；</w:t>
            </w:r>
          </w:p>
          <w:p>
            <w:pPr>
              <w:keepNext w:val="0"/>
              <w:keepLines w:val="0"/>
              <w:numPr>
                <w:ilvl w:val="0"/>
                <w:numId w:val="17"/>
              </w:numPr>
              <w:suppressLineNumbers w:val="0"/>
              <w:autoSpaceDE w:val="0"/>
              <w:autoSpaceDN w:val="0"/>
              <w:spacing w:before="240" w:beforeAutospacing="0" w:after="120" w:afterAutospacing="0" w:line="480" w:lineRule="atLeast"/>
              <w:ind w:left="0" w:right="0"/>
              <w:jc w:val="left"/>
              <w:rPr>
                <w:rFonts w:ascii="宋体" w:hAnsi="宋体"/>
                <w:color w:val="auto"/>
                <w:sz w:val="22"/>
                <w:szCs w:val="22"/>
              </w:rPr>
            </w:pPr>
            <w:r>
              <w:rPr>
                <w:rFonts w:ascii="宋体" w:hAnsi="宋体"/>
                <w:color w:val="auto"/>
                <w:sz w:val="22"/>
                <w:szCs w:val="22"/>
              </w:rPr>
              <w:t>具有重要信息系统保护人员（证书类别：CIIP-T）证书，得2分。</w:t>
            </w:r>
          </w:p>
          <w:p>
            <w:pPr>
              <w:keepNext w:val="0"/>
              <w:keepLines w:val="0"/>
              <w:suppressLineNumbers w:val="0"/>
              <w:spacing w:before="240" w:beforeAutospacing="0" w:after="120" w:afterAutospacing="0" w:line="480" w:lineRule="atLeast"/>
              <w:ind w:left="0" w:right="0"/>
              <w:rPr>
                <w:rFonts w:ascii="宋体" w:hAnsi="宋体"/>
                <w:b/>
                <w:color w:val="auto"/>
                <w:sz w:val="22"/>
                <w:szCs w:val="22"/>
              </w:rPr>
            </w:pPr>
            <w:r>
              <w:rPr>
                <w:rFonts w:ascii="宋体" w:hAnsi="宋体"/>
                <w:color w:val="auto"/>
                <w:sz w:val="22"/>
                <w:szCs w:val="22"/>
              </w:rPr>
              <w:t>2、</w:t>
            </w:r>
            <w:r>
              <w:rPr>
                <w:rFonts w:ascii="宋体" w:hAnsi="宋体"/>
                <w:b/>
                <w:color w:val="auto"/>
                <w:sz w:val="22"/>
                <w:szCs w:val="22"/>
              </w:rPr>
              <w:t>项目经理（1人，本小项满分5分）：</w:t>
            </w:r>
          </w:p>
          <w:p>
            <w:pPr>
              <w:keepNext w:val="0"/>
              <w:keepLines w:val="0"/>
              <w:numPr>
                <w:ilvl w:val="0"/>
                <w:numId w:val="18"/>
              </w:numPr>
              <w:suppressLineNumbers w:val="0"/>
              <w:autoSpaceDE w:val="0"/>
              <w:autoSpaceDN w:val="0"/>
              <w:spacing w:before="240" w:beforeAutospacing="0" w:after="120" w:afterAutospacing="0" w:line="480" w:lineRule="atLeast"/>
              <w:ind w:left="0" w:right="0"/>
              <w:jc w:val="left"/>
              <w:rPr>
                <w:rFonts w:ascii="宋体" w:hAnsi="宋体"/>
                <w:color w:val="auto"/>
                <w:sz w:val="22"/>
                <w:szCs w:val="22"/>
              </w:rPr>
            </w:pPr>
            <w:r>
              <w:rPr>
                <w:rFonts w:ascii="宋体" w:hAnsi="宋体"/>
                <w:color w:val="auto"/>
                <w:sz w:val="22"/>
                <w:szCs w:val="22"/>
              </w:rPr>
              <w:t>具有高级测评师证书，得1分；</w:t>
            </w:r>
          </w:p>
          <w:p>
            <w:pPr>
              <w:keepNext w:val="0"/>
              <w:keepLines w:val="0"/>
              <w:numPr>
                <w:ilvl w:val="0"/>
                <w:numId w:val="18"/>
              </w:numPr>
              <w:suppressLineNumbers w:val="0"/>
              <w:autoSpaceDE w:val="0"/>
              <w:autoSpaceDN w:val="0"/>
              <w:spacing w:before="240" w:beforeAutospacing="0" w:after="120" w:afterAutospacing="0" w:line="480" w:lineRule="atLeast"/>
              <w:ind w:left="0" w:right="0"/>
              <w:jc w:val="left"/>
              <w:rPr>
                <w:rFonts w:ascii="宋体" w:hAnsi="宋体"/>
                <w:color w:val="auto"/>
                <w:sz w:val="22"/>
                <w:szCs w:val="22"/>
              </w:rPr>
            </w:pPr>
            <w:r>
              <w:rPr>
                <w:rFonts w:ascii="宋体" w:hAnsi="宋体"/>
                <w:color w:val="auto"/>
                <w:sz w:val="22"/>
                <w:szCs w:val="22"/>
              </w:rPr>
              <w:t>具有注册信息安全认证讲师（CISI）证书，得2分；</w:t>
            </w:r>
          </w:p>
          <w:p>
            <w:pPr>
              <w:keepNext w:val="0"/>
              <w:keepLines w:val="0"/>
              <w:numPr>
                <w:ilvl w:val="0"/>
                <w:numId w:val="18"/>
              </w:numPr>
              <w:suppressLineNumbers w:val="0"/>
              <w:autoSpaceDE w:val="0"/>
              <w:autoSpaceDN w:val="0"/>
              <w:spacing w:before="240" w:beforeAutospacing="0" w:after="120" w:afterAutospacing="0" w:line="480" w:lineRule="atLeast"/>
              <w:ind w:left="0" w:right="0"/>
              <w:jc w:val="left"/>
              <w:rPr>
                <w:rFonts w:ascii="宋体" w:hAnsi="宋体"/>
                <w:color w:val="auto"/>
                <w:sz w:val="22"/>
                <w:szCs w:val="22"/>
              </w:rPr>
            </w:pPr>
            <w:r>
              <w:rPr>
                <w:rFonts w:ascii="宋体" w:hAnsi="宋体"/>
                <w:color w:val="auto"/>
                <w:sz w:val="22"/>
                <w:szCs w:val="22"/>
              </w:rPr>
              <w:t>具有信息安全保障人员认证（CISAW）证书，且认证方向为风险管理和安全运维方向的，得2分。</w:t>
            </w:r>
          </w:p>
          <w:p>
            <w:pPr>
              <w:keepNext w:val="0"/>
              <w:keepLines w:val="0"/>
              <w:suppressLineNumbers w:val="0"/>
              <w:spacing w:before="240" w:beforeAutospacing="0" w:after="120" w:afterAutospacing="0" w:line="480" w:lineRule="atLeast"/>
              <w:ind w:left="0" w:right="0"/>
              <w:rPr>
                <w:rFonts w:ascii="宋体" w:hAnsi="宋体"/>
                <w:b/>
                <w:bCs/>
                <w:color w:val="auto"/>
                <w:sz w:val="22"/>
                <w:szCs w:val="22"/>
              </w:rPr>
            </w:pPr>
            <w:r>
              <w:rPr>
                <w:rFonts w:ascii="宋体" w:hAnsi="宋体"/>
                <w:color w:val="auto"/>
                <w:sz w:val="22"/>
                <w:szCs w:val="22"/>
              </w:rPr>
              <w:t>3、</w:t>
            </w:r>
            <w:r>
              <w:rPr>
                <w:rFonts w:ascii="宋体" w:hAnsi="宋体"/>
                <w:b/>
                <w:bCs/>
                <w:color w:val="auto"/>
                <w:sz w:val="22"/>
                <w:szCs w:val="22"/>
              </w:rPr>
              <w:t>团队成员</w:t>
            </w:r>
            <w:r>
              <w:rPr>
                <w:rFonts w:ascii="宋体" w:hAnsi="宋体"/>
                <w:b/>
                <w:color w:val="auto"/>
                <w:sz w:val="22"/>
                <w:szCs w:val="22"/>
              </w:rPr>
              <w:t>（最少2人，本小项满分5分）</w:t>
            </w:r>
            <w:r>
              <w:rPr>
                <w:rFonts w:ascii="宋体" w:hAnsi="宋体"/>
                <w:b/>
                <w:bCs/>
                <w:color w:val="auto"/>
                <w:sz w:val="22"/>
                <w:szCs w:val="22"/>
              </w:rPr>
              <w:t>：</w:t>
            </w:r>
          </w:p>
          <w:p>
            <w:pPr>
              <w:keepNext w:val="0"/>
              <w:keepLines w:val="0"/>
              <w:suppressLineNumbers w:val="0"/>
              <w:spacing w:before="240" w:beforeAutospacing="0" w:after="120" w:afterAutospacing="0" w:line="480" w:lineRule="atLeast"/>
              <w:ind w:left="0" w:right="0"/>
              <w:rPr>
                <w:rFonts w:ascii="宋体" w:hAnsi="宋体"/>
                <w:color w:val="auto"/>
                <w:sz w:val="22"/>
                <w:szCs w:val="22"/>
              </w:rPr>
            </w:pPr>
            <w:r>
              <w:rPr>
                <w:rFonts w:ascii="宋体" w:hAnsi="宋体"/>
                <w:color w:val="auto"/>
                <w:sz w:val="22"/>
                <w:szCs w:val="22"/>
              </w:rPr>
              <w:t>项目组其他成员（不包括质量经理、项目经理）全部具有初级（含）以上等级测评师证书，满足得3分，否则本小项不得分；在满足上述条件基础上，每提供1名具有CISP证书或CCSC证书或CISAW证书，得1分</w:t>
            </w:r>
            <w:r>
              <w:rPr>
                <w:rFonts w:hint="eastAsia" w:ascii="宋体" w:hAnsi="宋体"/>
                <w:color w:val="auto"/>
                <w:sz w:val="22"/>
                <w:szCs w:val="22"/>
                <w:lang w:eastAsia="zh-CN"/>
              </w:rPr>
              <w:t>，本小项最多得</w:t>
            </w:r>
            <w:r>
              <w:rPr>
                <w:rFonts w:hint="eastAsia" w:ascii="宋体" w:hAnsi="宋体"/>
                <w:color w:val="auto"/>
                <w:sz w:val="22"/>
                <w:szCs w:val="22"/>
                <w:lang w:val="en-US" w:eastAsia="zh-CN"/>
              </w:rPr>
              <w:t>2</w:t>
            </w:r>
            <w:r>
              <w:rPr>
                <w:rFonts w:hint="eastAsia" w:ascii="宋体" w:hAnsi="宋体"/>
                <w:color w:val="auto"/>
                <w:sz w:val="22"/>
                <w:szCs w:val="22"/>
                <w:lang w:eastAsia="zh-CN"/>
              </w:rPr>
              <w:t>分</w:t>
            </w:r>
            <w:r>
              <w:rPr>
                <w:rFonts w:ascii="宋体" w:hAnsi="宋体"/>
                <w:color w:val="auto"/>
                <w:sz w:val="22"/>
                <w:szCs w:val="22"/>
              </w:rPr>
              <w:t>。</w:t>
            </w:r>
          </w:p>
          <w:p>
            <w:pPr>
              <w:keepNext w:val="0"/>
              <w:keepLines w:val="0"/>
              <w:suppressLineNumbers w:val="0"/>
              <w:spacing w:before="240" w:beforeAutospacing="0" w:after="120" w:afterAutospacing="0" w:line="480" w:lineRule="atLeast"/>
              <w:ind w:left="0" w:right="0"/>
              <w:rPr>
                <w:rFonts w:ascii="宋体" w:hAnsi="宋体"/>
                <w:color w:val="auto"/>
                <w:sz w:val="22"/>
                <w:szCs w:val="22"/>
              </w:rPr>
            </w:pPr>
            <w:r>
              <w:rPr>
                <w:rFonts w:ascii="宋体" w:hAnsi="宋体"/>
                <w:color w:val="auto"/>
                <w:sz w:val="22"/>
                <w:szCs w:val="22"/>
              </w:rPr>
              <w:t>注：以上证书须提供证书扫描件或复印件，且提供持证人员近三个月在投标单位的社保证明。</w:t>
            </w:r>
          </w:p>
        </w:tc>
        <w:tc>
          <w:tcPr>
            <w:tcW w:w="997" w:type="dxa"/>
            <w:vAlign w:val="center"/>
          </w:tcPr>
          <w:p>
            <w:pPr>
              <w:keepNext w:val="0"/>
              <w:keepLines w:val="0"/>
              <w:suppressLineNumbers w:val="0"/>
              <w:spacing w:before="240" w:beforeAutospacing="0" w:after="120" w:afterAutospacing="0" w:line="480" w:lineRule="atLeast"/>
              <w:ind w:left="0" w:right="0"/>
              <w:jc w:val="center"/>
              <w:rPr>
                <w:rFonts w:ascii="宋体" w:hAnsi="宋体"/>
                <w:color w:val="auto"/>
                <w:sz w:val="28"/>
                <w:szCs w:val="28"/>
              </w:rPr>
            </w:pPr>
            <w:r>
              <w:rPr>
                <w:rFonts w:ascii="宋体" w:hAnsi="宋体"/>
                <w:color w:val="auto"/>
                <w:sz w:val="28"/>
                <w:szCs w:val="28"/>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keepNext w:val="0"/>
              <w:keepLines w:val="0"/>
              <w:suppressLineNumbers w:val="0"/>
              <w:spacing w:before="240" w:beforeAutospacing="0" w:after="120" w:afterAutospacing="0" w:line="480" w:lineRule="atLeast"/>
              <w:ind w:left="0" w:right="0"/>
              <w:jc w:val="center"/>
              <w:rPr>
                <w:rFonts w:ascii="宋体" w:hAnsi="宋体"/>
                <w:color w:val="auto"/>
                <w:sz w:val="22"/>
                <w:szCs w:val="22"/>
              </w:rPr>
            </w:pPr>
            <w:r>
              <w:rPr>
                <w:rFonts w:ascii="宋体" w:hAnsi="宋体"/>
                <w:color w:val="auto"/>
                <w:sz w:val="22"/>
                <w:szCs w:val="22"/>
              </w:rPr>
              <w:t>资信分（55分）</w:t>
            </w:r>
          </w:p>
        </w:tc>
        <w:tc>
          <w:tcPr>
            <w:tcW w:w="1415" w:type="dxa"/>
            <w:vAlign w:val="center"/>
          </w:tcPr>
          <w:p>
            <w:pPr>
              <w:keepNext w:val="0"/>
              <w:keepLines w:val="0"/>
              <w:suppressLineNumbers w:val="0"/>
              <w:spacing w:before="240" w:beforeAutospacing="0" w:after="120" w:afterAutospacing="0" w:line="480" w:lineRule="atLeast"/>
              <w:ind w:left="0" w:right="0"/>
              <w:jc w:val="center"/>
              <w:rPr>
                <w:rFonts w:ascii="宋体" w:hAnsi="宋体"/>
                <w:color w:val="auto"/>
                <w:sz w:val="22"/>
                <w:szCs w:val="22"/>
              </w:rPr>
            </w:pPr>
            <w:r>
              <w:rPr>
                <w:rFonts w:ascii="宋体" w:hAnsi="宋体"/>
                <w:color w:val="auto"/>
                <w:sz w:val="22"/>
                <w:szCs w:val="22"/>
              </w:rPr>
              <w:t>投标人业绩</w:t>
            </w:r>
          </w:p>
        </w:tc>
        <w:tc>
          <w:tcPr>
            <w:tcW w:w="5956" w:type="dxa"/>
            <w:vAlign w:val="center"/>
          </w:tcPr>
          <w:p>
            <w:pPr>
              <w:keepNext w:val="0"/>
              <w:keepLines w:val="0"/>
              <w:suppressLineNumbers w:val="0"/>
              <w:spacing w:before="240" w:beforeAutospacing="0" w:after="120" w:afterAutospacing="0" w:line="480" w:lineRule="atLeast"/>
              <w:ind w:left="0" w:right="0"/>
              <w:rPr>
                <w:rFonts w:ascii="宋体" w:hAnsi="宋体"/>
                <w:color w:val="auto"/>
                <w:sz w:val="22"/>
                <w:szCs w:val="22"/>
              </w:rPr>
            </w:pPr>
            <w:r>
              <w:rPr>
                <w:rFonts w:ascii="宋体" w:hAnsi="宋体"/>
                <w:color w:val="auto"/>
                <w:sz w:val="22"/>
                <w:szCs w:val="22"/>
              </w:rPr>
              <w:t>投标人提供自20</w:t>
            </w:r>
            <w:r>
              <w:rPr>
                <w:rFonts w:hint="eastAsia" w:ascii="宋体" w:hAnsi="宋体"/>
                <w:color w:val="auto"/>
                <w:sz w:val="22"/>
                <w:szCs w:val="22"/>
              </w:rPr>
              <w:t>20</w:t>
            </w:r>
            <w:r>
              <w:rPr>
                <w:rFonts w:ascii="宋体" w:hAnsi="宋体"/>
                <w:color w:val="auto"/>
                <w:sz w:val="22"/>
                <w:szCs w:val="22"/>
              </w:rPr>
              <w:t>年01月01日以来等保测评服务业绩合同（以合同签订日期为准）：每提供一个得3分；最高得15分。</w:t>
            </w:r>
          </w:p>
          <w:p>
            <w:pPr>
              <w:keepNext w:val="0"/>
              <w:keepLines w:val="0"/>
              <w:suppressLineNumbers w:val="0"/>
              <w:spacing w:before="240" w:beforeAutospacing="0" w:after="120" w:afterAutospacing="0" w:line="480" w:lineRule="atLeast"/>
              <w:ind w:left="0" w:right="0"/>
              <w:rPr>
                <w:rFonts w:ascii="宋体" w:hAnsi="宋体"/>
                <w:color w:val="auto"/>
                <w:sz w:val="22"/>
                <w:szCs w:val="22"/>
              </w:rPr>
            </w:pPr>
            <w:r>
              <w:rPr>
                <w:rFonts w:ascii="宋体" w:hAnsi="宋体"/>
                <w:color w:val="auto"/>
                <w:sz w:val="22"/>
                <w:szCs w:val="22"/>
              </w:rPr>
              <w:t>注：投标文件中须提供业绩合同的扫描件/复印件,合同扫描件至少提供封面、服务内容和签字盖章页。</w:t>
            </w:r>
          </w:p>
        </w:tc>
        <w:tc>
          <w:tcPr>
            <w:tcW w:w="997" w:type="dxa"/>
            <w:vAlign w:val="center"/>
          </w:tcPr>
          <w:p>
            <w:pPr>
              <w:keepNext w:val="0"/>
              <w:keepLines w:val="0"/>
              <w:suppressLineNumbers w:val="0"/>
              <w:spacing w:before="240" w:beforeAutospacing="0" w:after="120" w:afterAutospacing="0" w:line="480" w:lineRule="atLeast"/>
              <w:ind w:left="0" w:right="0"/>
              <w:jc w:val="center"/>
              <w:rPr>
                <w:rFonts w:ascii="宋体" w:hAnsi="宋体"/>
                <w:color w:val="auto"/>
                <w:sz w:val="22"/>
                <w:szCs w:val="22"/>
              </w:rPr>
            </w:pPr>
            <w:r>
              <w:rPr>
                <w:rFonts w:ascii="宋体" w:hAnsi="宋体"/>
                <w:color w:val="auto"/>
                <w:sz w:val="22"/>
                <w:szCs w:val="22"/>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keepNext w:val="0"/>
              <w:keepLines w:val="0"/>
              <w:suppressLineNumbers w:val="0"/>
              <w:spacing w:before="240" w:beforeAutospacing="0" w:after="120" w:afterAutospacing="0" w:line="480" w:lineRule="atLeast"/>
              <w:ind w:left="0" w:right="0"/>
              <w:jc w:val="center"/>
              <w:rPr>
                <w:rFonts w:ascii="宋体" w:hAnsi="宋体"/>
                <w:color w:val="auto"/>
                <w:sz w:val="28"/>
                <w:szCs w:val="28"/>
              </w:rPr>
            </w:pPr>
          </w:p>
        </w:tc>
        <w:tc>
          <w:tcPr>
            <w:tcW w:w="1415" w:type="dxa"/>
            <w:vAlign w:val="center"/>
          </w:tcPr>
          <w:p>
            <w:pPr>
              <w:keepNext w:val="0"/>
              <w:keepLines w:val="0"/>
              <w:suppressLineNumbers w:val="0"/>
              <w:spacing w:before="240" w:beforeAutospacing="0" w:after="120" w:afterAutospacing="0" w:line="480" w:lineRule="atLeast"/>
              <w:ind w:left="0" w:right="0"/>
              <w:jc w:val="center"/>
              <w:rPr>
                <w:rFonts w:ascii="宋体" w:hAnsi="宋体"/>
                <w:color w:val="auto"/>
                <w:sz w:val="22"/>
                <w:szCs w:val="22"/>
              </w:rPr>
            </w:pPr>
            <w:r>
              <w:rPr>
                <w:rFonts w:ascii="宋体" w:hAnsi="宋体"/>
                <w:color w:val="auto"/>
                <w:sz w:val="22"/>
                <w:szCs w:val="22"/>
              </w:rPr>
              <w:t>投标人实力</w:t>
            </w:r>
          </w:p>
        </w:tc>
        <w:tc>
          <w:tcPr>
            <w:tcW w:w="5956" w:type="dxa"/>
            <w:vAlign w:val="center"/>
          </w:tcPr>
          <w:p>
            <w:pPr>
              <w:keepNext w:val="0"/>
              <w:keepLines w:val="0"/>
              <w:suppressLineNumbers w:val="0"/>
              <w:spacing w:before="240" w:beforeAutospacing="0" w:after="120" w:afterAutospacing="0" w:line="480" w:lineRule="atLeast"/>
              <w:ind w:left="0" w:right="0"/>
              <w:rPr>
                <w:rFonts w:ascii="宋体" w:hAnsi="宋体"/>
                <w:color w:val="auto"/>
                <w:sz w:val="22"/>
                <w:szCs w:val="22"/>
              </w:rPr>
            </w:pPr>
            <w:r>
              <w:rPr>
                <w:rFonts w:hint="eastAsia" w:ascii="宋体" w:hAnsi="宋体"/>
                <w:color w:val="auto"/>
                <w:sz w:val="22"/>
                <w:szCs w:val="22"/>
              </w:rPr>
              <w:t>1、投标人具有ISO9001质量管理体系认证证书、ISO/IEC 27001信息安全管理体系认证证书、ISO/IEC20000信息技术服务管理体系认证证书、ISO14001环境管理体系认证证书和ISO45001职业健康安全管理体系认证证书的，每提供一个证书得1分，本小项最多得5分。</w:t>
            </w:r>
          </w:p>
          <w:p>
            <w:pPr>
              <w:keepNext w:val="0"/>
              <w:keepLines w:val="0"/>
              <w:suppressLineNumbers w:val="0"/>
              <w:spacing w:before="240" w:beforeAutospacing="0" w:after="120" w:afterAutospacing="0" w:line="480" w:lineRule="atLeast"/>
              <w:ind w:left="0" w:right="0"/>
              <w:rPr>
                <w:rFonts w:ascii="宋体" w:hAnsi="宋体"/>
                <w:color w:val="auto"/>
                <w:sz w:val="22"/>
                <w:szCs w:val="22"/>
              </w:rPr>
            </w:pPr>
            <w:r>
              <w:rPr>
                <w:rFonts w:hint="eastAsia" w:ascii="宋体" w:hAnsi="宋体"/>
                <w:color w:val="auto"/>
                <w:sz w:val="22"/>
                <w:szCs w:val="22"/>
              </w:rPr>
              <w:t>2、投标人具有ISO 22301业务连续性管理体系认证证书且认证覆盖的业务范围包括网络安全等级保护测评的，得5分。</w:t>
            </w:r>
          </w:p>
          <w:p>
            <w:pPr>
              <w:keepNext w:val="0"/>
              <w:keepLines w:val="0"/>
              <w:suppressLineNumbers w:val="0"/>
              <w:spacing w:before="240" w:beforeAutospacing="0" w:after="120" w:afterAutospacing="0" w:line="480" w:lineRule="atLeast"/>
              <w:ind w:left="0" w:right="0"/>
              <w:rPr>
                <w:rFonts w:ascii="宋体" w:hAnsi="宋体"/>
                <w:color w:val="auto"/>
                <w:sz w:val="22"/>
                <w:szCs w:val="22"/>
              </w:rPr>
            </w:pPr>
            <w:r>
              <w:rPr>
                <w:rFonts w:hint="eastAsia" w:ascii="宋体" w:hAnsi="宋体"/>
                <w:color w:val="auto"/>
                <w:sz w:val="22"/>
                <w:szCs w:val="22"/>
              </w:rPr>
              <w:t>3、投标人具有检验检测机构资质认定证书（CMA）证书且检验检测的能力范围包括网络安全等级保护测评、信息安全风险评估的，得5分。</w:t>
            </w:r>
          </w:p>
          <w:p>
            <w:pPr>
              <w:keepNext w:val="0"/>
              <w:keepLines w:val="0"/>
              <w:suppressLineNumbers w:val="0"/>
              <w:spacing w:before="240" w:beforeAutospacing="0" w:after="120" w:afterAutospacing="0" w:line="480" w:lineRule="atLeast"/>
              <w:ind w:left="0" w:right="0"/>
              <w:rPr>
                <w:rFonts w:ascii="宋体" w:hAnsi="宋体"/>
                <w:color w:val="auto"/>
                <w:sz w:val="22"/>
                <w:szCs w:val="22"/>
              </w:rPr>
            </w:pPr>
            <w:r>
              <w:rPr>
                <w:rFonts w:hint="eastAsia" w:ascii="宋体" w:hAnsi="宋体"/>
                <w:color w:val="auto"/>
                <w:sz w:val="22"/>
                <w:szCs w:val="22"/>
              </w:rPr>
              <w:t>4、投标人具有信息技术服务标准符合性证书（ITSS）的，得5分。</w:t>
            </w:r>
          </w:p>
          <w:p>
            <w:pPr>
              <w:keepNext w:val="0"/>
              <w:keepLines w:val="0"/>
              <w:suppressLineNumbers w:val="0"/>
              <w:spacing w:before="240" w:beforeAutospacing="0" w:after="120" w:afterAutospacing="0" w:line="480" w:lineRule="atLeast"/>
              <w:ind w:left="0" w:right="0"/>
              <w:rPr>
                <w:rFonts w:hint="eastAsia" w:ascii="宋体" w:hAnsi="宋体" w:eastAsia="宋体" w:cs="Times New Roman"/>
                <w:color w:val="auto"/>
                <w:kern w:val="2"/>
                <w:sz w:val="22"/>
                <w:szCs w:val="22"/>
                <w:lang w:val="en-US" w:eastAsia="zh-CN" w:bidi="ar"/>
              </w:rPr>
            </w:pPr>
            <w:r>
              <w:rPr>
                <w:rFonts w:ascii="宋体" w:hAnsi="宋体"/>
                <w:color w:val="auto"/>
                <w:sz w:val="22"/>
                <w:szCs w:val="22"/>
              </w:rPr>
              <w:t>5</w:t>
            </w:r>
            <w:r>
              <w:rPr>
                <w:rFonts w:hint="eastAsia" w:ascii="宋体" w:hAnsi="宋体"/>
                <w:color w:val="auto"/>
                <w:sz w:val="22"/>
                <w:szCs w:val="22"/>
              </w:rPr>
              <w:t>、</w:t>
            </w:r>
            <w:r>
              <w:rPr>
                <w:rFonts w:hint="eastAsia" w:ascii="宋体" w:hAnsi="宋体" w:eastAsia="宋体" w:cs="Times New Roman"/>
                <w:color w:val="auto"/>
                <w:kern w:val="2"/>
                <w:sz w:val="22"/>
                <w:szCs w:val="22"/>
                <w:lang w:val="en-US" w:eastAsia="zh-CN" w:bidi="ar"/>
              </w:rPr>
              <w:t>投标人具有数据安全服务能力评定资格证书（二级）的，得5分。</w:t>
            </w:r>
          </w:p>
          <w:p>
            <w:pPr>
              <w:keepNext w:val="0"/>
              <w:keepLines w:val="0"/>
              <w:suppressLineNumbers w:val="0"/>
              <w:spacing w:before="240" w:beforeAutospacing="0" w:after="120" w:afterAutospacing="0" w:line="480" w:lineRule="atLeast"/>
              <w:ind w:left="0" w:right="0"/>
              <w:rPr>
                <w:rFonts w:ascii="宋体" w:hAnsi="宋体"/>
                <w:color w:val="auto"/>
                <w:sz w:val="22"/>
                <w:szCs w:val="22"/>
              </w:rPr>
            </w:pPr>
            <w:r>
              <w:rPr>
                <w:rFonts w:ascii="宋体" w:hAnsi="宋体"/>
                <w:color w:val="auto"/>
                <w:sz w:val="22"/>
                <w:szCs w:val="22"/>
              </w:rPr>
              <w:t>6</w:t>
            </w:r>
            <w:r>
              <w:rPr>
                <w:rFonts w:hint="eastAsia" w:ascii="宋体" w:hAnsi="宋体"/>
                <w:color w:val="auto"/>
                <w:sz w:val="22"/>
                <w:szCs w:val="22"/>
              </w:rPr>
              <w:t>、投标人具有中国网络安全审查技术与认证中心颁发的</w:t>
            </w:r>
            <w:r>
              <w:rPr>
                <w:rFonts w:hint="eastAsia" w:ascii="宋体" w:hAnsi="宋体" w:eastAsia="宋体" w:cs="Times New Roman"/>
                <w:color w:val="auto"/>
                <w:kern w:val="2"/>
                <w:sz w:val="22"/>
                <w:szCs w:val="22"/>
                <w:lang w:val="en-US" w:eastAsia="zh-CN" w:bidi="ar"/>
              </w:rPr>
              <w:t>信息系统信息安全风险评估服务资质</w:t>
            </w:r>
            <w:r>
              <w:rPr>
                <w:rFonts w:hint="eastAsia" w:ascii="宋体" w:hAnsi="宋体"/>
                <w:color w:val="auto"/>
                <w:sz w:val="22"/>
                <w:szCs w:val="22"/>
              </w:rPr>
              <w:t>、信息安全应急处理服务资质和网络安全审计服务资质的，提供1个证书得1分，提供2个证书得3分，提供3个证书得5分。</w:t>
            </w:r>
          </w:p>
          <w:p>
            <w:pPr>
              <w:keepNext w:val="0"/>
              <w:keepLines w:val="0"/>
              <w:suppressLineNumbers w:val="0"/>
              <w:spacing w:before="240" w:beforeAutospacing="0" w:after="120" w:afterAutospacing="0" w:line="480" w:lineRule="atLeast"/>
              <w:ind w:left="0" w:right="0"/>
              <w:rPr>
                <w:rFonts w:ascii="宋体" w:hAnsi="宋体"/>
                <w:color w:val="auto"/>
                <w:sz w:val="22"/>
                <w:szCs w:val="22"/>
              </w:rPr>
            </w:pPr>
            <w:r>
              <w:rPr>
                <w:rFonts w:hint="eastAsia" w:ascii="宋体" w:hAnsi="宋体"/>
                <w:color w:val="auto"/>
                <w:sz w:val="22"/>
                <w:szCs w:val="22"/>
              </w:rPr>
              <w:t>注： 以上证书须提供证书扫描件或复印件。</w:t>
            </w:r>
          </w:p>
        </w:tc>
        <w:tc>
          <w:tcPr>
            <w:tcW w:w="997" w:type="dxa"/>
            <w:vAlign w:val="center"/>
          </w:tcPr>
          <w:p>
            <w:pPr>
              <w:keepNext w:val="0"/>
              <w:keepLines w:val="0"/>
              <w:suppressLineNumbers w:val="0"/>
              <w:spacing w:before="240" w:beforeAutospacing="0" w:after="120" w:afterAutospacing="0" w:line="480" w:lineRule="atLeast"/>
              <w:ind w:left="0" w:right="0"/>
              <w:jc w:val="center"/>
              <w:rPr>
                <w:rFonts w:ascii="宋体" w:hAnsi="宋体"/>
                <w:color w:val="auto"/>
                <w:sz w:val="22"/>
                <w:szCs w:val="22"/>
              </w:rPr>
            </w:pPr>
            <w:r>
              <w:rPr>
                <w:rFonts w:ascii="宋体" w:hAnsi="宋体"/>
                <w:color w:val="auto"/>
                <w:sz w:val="22"/>
                <w:szCs w:val="22"/>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keepNext w:val="0"/>
              <w:keepLines w:val="0"/>
              <w:suppressLineNumbers w:val="0"/>
              <w:spacing w:before="240" w:beforeAutospacing="0" w:after="120" w:afterAutospacing="0" w:line="480" w:lineRule="atLeast"/>
              <w:ind w:left="0" w:right="0"/>
              <w:jc w:val="center"/>
              <w:rPr>
                <w:rFonts w:ascii="宋体" w:hAnsi="宋体"/>
                <w:color w:val="auto"/>
                <w:sz w:val="28"/>
                <w:szCs w:val="28"/>
              </w:rPr>
            </w:pPr>
          </w:p>
        </w:tc>
        <w:tc>
          <w:tcPr>
            <w:tcW w:w="1415" w:type="dxa"/>
            <w:vAlign w:val="center"/>
          </w:tcPr>
          <w:p>
            <w:pPr>
              <w:keepNext w:val="0"/>
              <w:keepLines w:val="0"/>
              <w:suppressLineNumbers w:val="0"/>
              <w:spacing w:before="240" w:beforeAutospacing="0" w:after="120" w:afterAutospacing="0" w:line="480" w:lineRule="atLeast"/>
              <w:ind w:left="0" w:right="0"/>
              <w:jc w:val="center"/>
              <w:rPr>
                <w:rFonts w:ascii="宋体" w:hAnsi="宋体"/>
                <w:color w:val="auto"/>
                <w:sz w:val="22"/>
                <w:szCs w:val="22"/>
              </w:rPr>
            </w:pPr>
            <w:r>
              <w:rPr>
                <w:rFonts w:ascii="宋体" w:hAnsi="宋体"/>
                <w:color w:val="auto"/>
                <w:sz w:val="22"/>
                <w:szCs w:val="22"/>
              </w:rPr>
              <w:t>售后服务能力</w:t>
            </w:r>
          </w:p>
        </w:tc>
        <w:tc>
          <w:tcPr>
            <w:tcW w:w="5956" w:type="dxa"/>
            <w:vAlign w:val="center"/>
          </w:tcPr>
          <w:p>
            <w:pPr>
              <w:keepNext w:val="0"/>
              <w:keepLines w:val="0"/>
              <w:suppressLineNumbers w:val="0"/>
              <w:spacing w:before="240" w:beforeAutospacing="0" w:after="120" w:afterAutospacing="0" w:line="480" w:lineRule="atLeast"/>
              <w:ind w:left="0" w:right="0"/>
              <w:rPr>
                <w:rFonts w:ascii="宋体" w:hAnsi="宋体"/>
                <w:color w:val="auto"/>
                <w:sz w:val="22"/>
                <w:szCs w:val="22"/>
              </w:rPr>
            </w:pPr>
            <w:r>
              <w:rPr>
                <w:rFonts w:ascii="宋体" w:hAnsi="宋体"/>
                <w:color w:val="auto"/>
                <w:sz w:val="22"/>
                <w:szCs w:val="22"/>
              </w:rPr>
              <w:t>1、投标人在完成测评工作后应为甲方提供常态化的安全技术支撑，提供售后服务承诺书，评委对各家售后服务内容进行横向比较：详实得5分、良好得3分、一般得1分、较差得0分。</w:t>
            </w:r>
          </w:p>
          <w:p>
            <w:pPr>
              <w:keepNext w:val="0"/>
              <w:keepLines w:val="0"/>
              <w:suppressLineNumbers w:val="0"/>
              <w:spacing w:before="240" w:beforeAutospacing="0" w:after="120" w:afterAutospacing="0" w:line="480" w:lineRule="atLeast"/>
              <w:ind w:left="0" w:right="0"/>
              <w:rPr>
                <w:rFonts w:ascii="宋体" w:hAnsi="宋体"/>
                <w:b/>
                <w:bCs/>
                <w:color w:val="auto"/>
                <w:sz w:val="22"/>
                <w:szCs w:val="22"/>
              </w:rPr>
            </w:pPr>
            <w:r>
              <w:rPr>
                <w:rFonts w:ascii="宋体" w:hAnsi="宋体"/>
                <w:b/>
                <w:bCs/>
                <w:color w:val="auto"/>
                <w:sz w:val="22"/>
                <w:szCs w:val="22"/>
              </w:rPr>
              <w:t>注：投标文件中须提供售后服务承诺书。</w:t>
            </w:r>
          </w:p>
          <w:p>
            <w:pPr>
              <w:keepNext w:val="0"/>
              <w:keepLines w:val="0"/>
              <w:suppressLineNumbers w:val="0"/>
              <w:spacing w:before="240" w:beforeAutospacing="0" w:after="120" w:afterAutospacing="0" w:line="480" w:lineRule="atLeast"/>
              <w:ind w:left="0" w:right="0"/>
              <w:rPr>
                <w:rFonts w:ascii="宋体" w:hAnsi="宋体"/>
                <w:color w:val="auto"/>
                <w:sz w:val="22"/>
                <w:szCs w:val="22"/>
              </w:rPr>
            </w:pPr>
            <w:r>
              <w:rPr>
                <w:rFonts w:ascii="宋体" w:hAnsi="宋体"/>
                <w:color w:val="auto"/>
                <w:sz w:val="22"/>
                <w:szCs w:val="22"/>
              </w:rPr>
              <w:t>2、投标人具有国家互联网应急中心颁发的“网络安全能力认证”培训机构（CCSC）证书的，得5分。</w:t>
            </w:r>
          </w:p>
          <w:p>
            <w:pPr>
              <w:keepNext w:val="0"/>
              <w:keepLines w:val="0"/>
              <w:suppressLineNumbers w:val="0"/>
              <w:spacing w:before="240" w:beforeAutospacing="0" w:after="120" w:afterAutospacing="0" w:line="480" w:lineRule="atLeast"/>
              <w:ind w:left="0" w:right="0"/>
              <w:rPr>
                <w:rFonts w:ascii="宋体" w:hAnsi="宋体"/>
                <w:color w:val="auto"/>
                <w:sz w:val="22"/>
                <w:szCs w:val="22"/>
              </w:rPr>
            </w:pPr>
            <w:r>
              <w:rPr>
                <w:rFonts w:ascii="宋体" w:hAnsi="宋体"/>
                <w:b/>
                <w:bCs/>
                <w:color w:val="auto"/>
                <w:sz w:val="22"/>
                <w:szCs w:val="22"/>
              </w:rPr>
              <w:t>注：投标文件中须提供证书扫描件/复印件。</w:t>
            </w:r>
          </w:p>
        </w:tc>
        <w:tc>
          <w:tcPr>
            <w:tcW w:w="997" w:type="dxa"/>
            <w:vAlign w:val="center"/>
          </w:tcPr>
          <w:p>
            <w:pPr>
              <w:keepNext w:val="0"/>
              <w:keepLines w:val="0"/>
              <w:suppressLineNumbers w:val="0"/>
              <w:spacing w:before="240" w:beforeAutospacing="0" w:after="120" w:afterAutospacing="0" w:line="480" w:lineRule="atLeast"/>
              <w:ind w:left="0" w:right="0"/>
              <w:jc w:val="center"/>
              <w:rPr>
                <w:rFonts w:ascii="宋体" w:hAnsi="宋体"/>
                <w:color w:val="auto"/>
                <w:sz w:val="22"/>
                <w:szCs w:val="22"/>
              </w:rPr>
            </w:pPr>
            <w:r>
              <w:rPr>
                <w:rFonts w:ascii="宋体" w:hAnsi="宋体"/>
                <w:color w:val="auto"/>
                <w:sz w:val="22"/>
                <w:szCs w:val="22"/>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keepNext w:val="0"/>
              <w:keepLines w:val="0"/>
              <w:suppressLineNumbers w:val="0"/>
              <w:spacing w:before="240" w:beforeAutospacing="0" w:after="120" w:afterAutospacing="0" w:line="480" w:lineRule="atLeast"/>
              <w:ind w:left="0" w:right="0"/>
              <w:jc w:val="center"/>
              <w:rPr>
                <w:rFonts w:ascii="宋体" w:hAnsi="宋体"/>
                <w:color w:val="auto"/>
                <w:sz w:val="22"/>
                <w:szCs w:val="22"/>
              </w:rPr>
            </w:pPr>
            <w:r>
              <w:rPr>
                <w:rFonts w:ascii="宋体" w:hAnsi="宋体"/>
                <w:color w:val="auto"/>
                <w:sz w:val="22"/>
                <w:szCs w:val="22"/>
              </w:rPr>
              <w:t>价格分（10分）</w:t>
            </w:r>
          </w:p>
        </w:tc>
        <w:tc>
          <w:tcPr>
            <w:tcW w:w="1415" w:type="dxa"/>
            <w:vAlign w:val="center"/>
          </w:tcPr>
          <w:p>
            <w:pPr>
              <w:keepNext w:val="0"/>
              <w:keepLines w:val="0"/>
              <w:suppressLineNumbers w:val="0"/>
              <w:spacing w:before="240" w:beforeAutospacing="0" w:after="120" w:afterAutospacing="0" w:line="480" w:lineRule="atLeast"/>
              <w:ind w:left="0" w:right="0"/>
              <w:jc w:val="center"/>
              <w:rPr>
                <w:rFonts w:ascii="宋体" w:hAnsi="宋体"/>
                <w:color w:val="auto"/>
                <w:sz w:val="22"/>
                <w:szCs w:val="22"/>
              </w:rPr>
            </w:pPr>
            <w:r>
              <w:rPr>
                <w:rFonts w:ascii="宋体" w:hAnsi="宋体"/>
                <w:color w:val="auto"/>
                <w:sz w:val="22"/>
                <w:szCs w:val="22"/>
              </w:rPr>
              <w:t>投标报价</w:t>
            </w:r>
          </w:p>
        </w:tc>
        <w:tc>
          <w:tcPr>
            <w:tcW w:w="5956" w:type="dxa"/>
            <w:vAlign w:val="center"/>
          </w:tcPr>
          <w:p>
            <w:pPr>
              <w:keepNext w:val="0"/>
              <w:keepLines w:val="0"/>
              <w:suppressLineNumbers w:val="0"/>
              <w:spacing w:before="240" w:beforeAutospacing="0" w:after="120" w:afterAutospacing="0" w:line="480" w:lineRule="atLeast"/>
              <w:ind w:left="0" w:right="0"/>
              <w:rPr>
                <w:rFonts w:ascii="宋体" w:hAnsi="宋体"/>
                <w:color w:val="auto"/>
                <w:sz w:val="28"/>
                <w:szCs w:val="28"/>
              </w:rPr>
            </w:pPr>
            <w:r>
              <w:rPr>
                <w:rFonts w:hint="eastAsia" w:ascii="宋体" w:hAnsi="宋体" w:cs="宋体"/>
                <w:bCs/>
                <w:color w:val="auto"/>
                <w:szCs w:val="21"/>
              </w:rPr>
              <w:t>满足磋商文件要求且各家报价的最低价为响应基准价，其价格分为满分，其他响应报价得分统一按照下列公式计算：响应报价得分=（基准价/响应报价）×10。</w:t>
            </w:r>
          </w:p>
        </w:tc>
        <w:tc>
          <w:tcPr>
            <w:tcW w:w="997" w:type="dxa"/>
            <w:vAlign w:val="center"/>
          </w:tcPr>
          <w:p>
            <w:pPr>
              <w:keepNext w:val="0"/>
              <w:keepLines w:val="0"/>
              <w:suppressLineNumbers w:val="0"/>
              <w:spacing w:before="240" w:beforeAutospacing="0" w:after="120" w:afterAutospacing="0" w:line="480" w:lineRule="atLeast"/>
              <w:ind w:left="0" w:right="0"/>
              <w:jc w:val="center"/>
              <w:rPr>
                <w:rFonts w:ascii="宋体" w:hAnsi="宋体"/>
                <w:color w:val="auto"/>
                <w:sz w:val="28"/>
                <w:szCs w:val="28"/>
              </w:rPr>
            </w:pPr>
            <w:r>
              <w:rPr>
                <w:rFonts w:ascii="宋体" w:hAnsi="宋体"/>
                <w:color w:val="auto"/>
                <w:sz w:val="28"/>
                <w:szCs w:val="28"/>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686" w:type="dxa"/>
            <w:gridSpan w:val="2"/>
            <w:vAlign w:val="center"/>
          </w:tcPr>
          <w:p>
            <w:pPr>
              <w:keepNext w:val="0"/>
              <w:keepLines w:val="0"/>
              <w:suppressLineNumbers w:val="0"/>
              <w:spacing w:before="240" w:beforeAutospacing="0" w:after="120" w:afterAutospacing="0" w:line="480" w:lineRule="atLeast"/>
              <w:ind w:left="0" w:right="0"/>
              <w:jc w:val="center"/>
              <w:rPr>
                <w:rFonts w:ascii="宋体" w:hAnsi="宋体"/>
                <w:color w:val="auto"/>
                <w:sz w:val="22"/>
                <w:szCs w:val="22"/>
              </w:rPr>
            </w:pPr>
            <w:r>
              <w:rPr>
                <w:rFonts w:ascii="宋体" w:hAnsi="宋体"/>
                <w:color w:val="auto"/>
                <w:sz w:val="22"/>
                <w:szCs w:val="22"/>
              </w:rPr>
              <w:t>投标人得分计算方法</w:t>
            </w:r>
          </w:p>
        </w:tc>
        <w:tc>
          <w:tcPr>
            <w:tcW w:w="6953" w:type="dxa"/>
            <w:gridSpan w:val="2"/>
            <w:vAlign w:val="center"/>
          </w:tcPr>
          <w:p>
            <w:pPr>
              <w:keepNext w:val="0"/>
              <w:keepLines w:val="0"/>
              <w:suppressLineNumbers w:val="0"/>
              <w:spacing w:before="240" w:beforeAutospacing="0" w:after="120" w:afterAutospacing="0" w:line="480" w:lineRule="atLeast"/>
              <w:ind w:left="0" w:right="0"/>
              <w:rPr>
                <w:rFonts w:ascii="宋体" w:hAnsi="宋体"/>
                <w:color w:val="auto"/>
                <w:sz w:val="22"/>
                <w:szCs w:val="22"/>
              </w:rPr>
            </w:pPr>
            <w:r>
              <w:rPr>
                <w:rFonts w:ascii="宋体" w:hAnsi="宋体"/>
                <w:color w:val="auto"/>
                <w:sz w:val="22"/>
                <w:szCs w:val="22"/>
              </w:rPr>
              <w:t>各投标人的技术标得分为各评委所评技术标合计分值的</w:t>
            </w:r>
            <w:r>
              <w:rPr>
                <w:rFonts w:hint="eastAsia" w:ascii="宋体" w:hAnsi="宋体"/>
                <w:color w:val="auto"/>
                <w:sz w:val="22"/>
                <w:szCs w:val="22"/>
                <w:lang w:val="en-US" w:eastAsia="zh-CN"/>
              </w:rPr>
              <w:t>总和</w:t>
            </w:r>
            <w:r>
              <w:rPr>
                <w:rFonts w:ascii="宋体" w:hAnsi="宋体"/>
                <w:color w:val="auto"/>
                <w:sz w:val="22"/>
                <w:szCs w:val="22"/>
              </w:rPr>
              <w:t>（取小数点后两位，第三位的数字四舍五入）。</w:t>
            </w:r>
          </w:p>
          <w:p>
            <w:pPr>
              <w:keepNext w:val="0"/>
              <w:keepLines w:val="0"/>
              <w:suppressLineNumbers w:val="0"/>
              <w:spacing w:before="240" w:beforeAutospacing="0" w:after="120" w:afterAutospacing="0" w:line="480" w:lineRule="atLeast"/>
              <w:ind w:left="0" w:right="0"/>
              <w:rPr>
                <w:rFonts w:ascii="宋体" w:hAnsi="宋体"/>
                <w:color w:val="auto"/>
                <w:sz w:val="22"/>
                <w:szCs w:val="22"/>
              </w:rPr>
            </w:pPr>
            <w:r>
              <w:rPr>
                <w:rFonts w:ascii="宋体" w:hAnsi="宋体"/>
                <w:color w:val="auto"/>
                <w:sz w:val="22"/>
                <w:szCs w:val="22"/>
              </w:rPr>
              <w:t>投标人总得分=技术分得分+资信分得分+价格分得分</w:t>
            </w:r>
          </w:p>
        </w:tc>
      </w:tr>
      <w:bookmarkEnd w:id="20"/>
    </w:tbl>
    <w:p>
      <w:pPr>
        <w:spacing w:before="240" w:after="120" w:line="480" w:lineRule="atLeast"/>
        <w:rPr>
          <w:rFonts w:ascii="宋体" w:hAnsi="宋体"/>
          <w:color w:val="auto"/>
          <w:sz w:val="22"/>
          <w:szCs w:val="16"/>
        </w:rPr>
      </w:pPr>
      <w:r>
        <w:rPr>
          <w:rFonts w:hint="eastAsia" w:ascii="宋体" w:hAnsi="宋体"/>
          <w:b/>
          <w:bCs/>
          <w:color w:val="auto"/>
          <w:sz w:val="24"/>
          <w:szCs w:val="24"/>
        </w:rPr>
        <w:t>4、</w:t>
      </w:r>
      <w:r>
        <w:rPr>
          <w:rFonts w:ascii="宋体" w:hAnsi="宋体"/>
          <w:b/>
          <w:bCs/>
          <w:color w:val="auto"/>
          <w:sz w:val="24"/>
          <w:szCs w:val="24"/>
        </w:rPr>
        <w:t>计分办法</w:t>
      </w:r>
    </w:p>
    <w:p>
      <w:pPr>
        <w:spacing w:before="240" w:after="120" w:line="480" w:lineRule="atLeast"/>
        <w:rPr>
          <w:rFonts w:ascii="宋体" w:hAnsi="宋体"/>
          <w:color w:val="auto"/>
          <w:sz w:val="22"/>
          <w:szCs w:val="16"/>
        </w:rPr>
      </w:pPr>
      <w:r>
        <w:rPr>
          <w:rFonts w:ascii="宋体" w:hAnsi="宋体"/>
          <w:color w:val="auto"/>
          <w:sz w:val="22"/>
          <w:szCs w:val="16"/>
        </w:rPr>
        <w:t>（1）</w:t>
      </w:r>
      <w:r>
        <w:rPr>
          <w:rFonts w:hint="eastAsia" w:ascii="宋体" w:hAnsi="宋体"/>
          <w:color w:val="auto"/>
          <w:sz w:val="22"/>
          <w:szCs w:val="16"/>
        </w:rPr>
        <w:t>磋商小组</w:t>
      </w:r>
      <w:r>
        <w:rPr>
          <w:rFonts w:ascii="宋体" w:hAnsi="宋体"/>
          <w:color w:val="auto"/>
          <w:sz w:val="22"/>
          <w:szCs w:val="16"/>
        </w:rPr>
        <w:t>成员按照</w:t>
      </w:r>
      <w:r>
        <w:rPr>
          <w:rFonts w:hint="eastAsia" w:ascii="宋体" w:hAnsi="宋体"/>
          <w:color w:val="auto"/>
          <w:sz w:val="22"/>
          <w:szCs w:val="16"/>
        </w:rPr>
        <w:t>磋商</w:t>
      </w:r>
      <w:r>
        <w:rPr>
          <w:rFonts w:ascii="宋体" w:hAnsi="宋体"/>
          <w:color w:val="auto"/>
          <w:sz w:val="22"/>
          <w:szCs w:val="16"/>
        </w:rPr>
        <w:t>文件和本评分细则上述有关规定,给各</w:t>
      </w:r>
      <w:r>
        <w:rPr>
          <w:rFonts w:hint="eastAsia" w:ascii="宋体" w:hAnsi="宋体"/>
          <w:color w:val="auto"/>
          <w:sz w:val="22"/>
          <w:szCs w:val="16"/>
        </w:rPr>
        <w:t>竞标</w:t>
      </w:r>
      <w:r>
        <w:rPr>
          <w:rFonts w:ascii="宋体" w:hAnsi="宋体"/>
          <w:color w:val="auto"/>
          <w:sz w:val="22"/>
          <w:szCs w:val="16"/>
        </w:rPr>
        <w:t>文件评分。</w:t>
      </w:r>
    </w:p>
    <w:p>
      <w:pPr>
        <w:spacing w:before="240" w:after="120" w:line="480" w:lineRule="atLeast"/>
        <w:rPr>
          <w:rFonts w:ascii="宋体" w:hAnsi="宋体"/>
          <w:color w:val="auto"/>
          <w:sz w:val="22"/>
          <w:szCs w:val="16"/>
        </w:rPr>
      </w:pPr>
      <w:r>
        <w:rPr>
          <w:rFonts w:ascii="宋体" w:hAnsi="宋体"/>
          <w:color w:val="auto"/>
          <w:sz w:val="22"/>
          <w:szCs w:val="16"/>
        </w:rPr>
        <w:t>（2）各项统计分数结果均按四舍五入方法精确到小数点后</w:t>
      </w:r>
      <w:r>
        <w:rPr>
          <w:rFonts w:hint="eastAsia" w:ascii="宋体" w:hAnsi="宋体"/>
          <w:color w:val="auto"/>
          <w:sz w:val="22"/>
          <w:szCs w:val="16"/>
          <w:lang w:val="en-US" w:eastAsia="zh-CN"/>
        </w:rPr>
        <w:t>两</w:t>
      </w:r>
      <w:r>
        <w:rPr>
          <w:rFonts w:ascii="宋体" w:hAnsi="宋体"/>
          <w:color w:val="auto"/>
          <w:sz w:val="22"/>
          <w:szCs w:val="16"/>
        </w:rPr>
        <w:t>位。</w:t>
      </w:r>
    </w:p>
    <w:p>
      <w:pPr>
        <w:spacing w:before="240" w:after="120" w:line="480" w:lineRule="atLeast"/>
        <w:rPr>
          <w:rFonts w:ascii="宋体" w:hAnsi="宋体" w:cs="宋体"/>
          <w:snapToGrid w:val="0"/>
          <w:color w:val="auto"/>
          <w:kern w:val="0"/>
          <w:sz w:val="24"/>
          <w:szCs w:val="24"/>
        </w:rPr>
      </w:pPr>
      <w:r>
        <w:rPr>
          <w:rFonts w:hint="eastAsia" w:ascii="宋体" w:hAnsi="宋体"/>
          <w:color w:val="auto"/>
          <w:sz w:val="22"/>
          <w:szCs w:val="16"/>
        </w:rPr>
        <w:t>（3）磋商小组应当根据综合评分情况，按照评审得分由高到低顺序推荐3名以上成交候选供应商，并编写评审报告。符合《政府采购竞争性磋商采购方式管理暂行办法》第二十一条第三款情形的，可以推荐2家成交候选供应商。评审得分相同的，按照最后报价由低到高的顺序推荐。评审得分且最后报价相同的，按照技术指标、资信指标优劣顺序推荐。</w:t>
      </w:r>
    </w:p>
    <w:p>
      <w:pPr>
        <w:keepLines/>
        <w:spacing w:before="240" w:after="120" w:line="480" w:lineRule="atLeast"/>
        <w:rPr>
          <w:rFonts w:ascii="宋体" w:hAnsi="宋体"/>
          <w:b/>
          <w:color w:val="auto"/>
          <w:sz w:val="22"/>
          <w:szCs w:val="16"/>
        </w:rPr>
      </w:pPr>
      <w:r>
        <w:rPr>
          <w:rFonts w:hint="eastAsia" w:ascii="宋体" w:hAnsi="宋体"/>
          <w:b/>
          <w:color w:val="auto"/>
          <w:sz w:val="22"/>
          <w:szCs w:val="16"/>
        </w:rPr>
        <w:t>5、授予合同</w:t>
      </w:r>
    </w:p>
    <w:p>
      <w:pPr>
        <w:pStyle w:val="175"/>
        <w:keepNext/>
        <w:spacing w:before="240" w:after="120" w:line="480" w:lineRule="atLeast"/>
        <w:ind w:firstLine="0" w:firstLineChars="0"/>
        <w:rPr>
          <w:rFonts w:ascii="宋体" w:hAnsi="宋体"/>
          <w:color w:val="auto"/>
          <w:sz w:val="22"/>
          <w:szCs w:val="16"/>
        </w:rPr>
      </w:pPr>
      <w:r>
        <w:rPr>
          <w:rFonts w:hint="eastAsia" w:ascii="宋体" w:hAnsi="宋体"/>
          <w:color w:val="auto"/>
          <w:sz w:val="22"/>
          <w:szCs w:val="16"/>
        </w:rPr>
        <w:t>(1)磋商小组评出拟授供应商经采购人确认；</w:t>
      </w:r>
    </w:p>
    <w:p>
      <w:pPr>
        <w:pStyle w:val="175"/>
        <w:keepNext/>
        <w:spacing w:before="240" w:after="120" w:line="480" w:lineRule="atLeast"/>
        <w:ind w:firstLine="0" w:firstLineChars="0"/>
        <w:rPr>
          <w:rFonts w:ascii="宋体" w:hAnsi="宋体"/>
          <w:color w:val="auto"/>
          <w:sz w:val="22"/>
          <w:szCs w:val="16"/>
        </w:rPr>
      </w:pPr>
      <w:r>
        <w:rPr>
          <w:rFonts w:hint="eastAsia" w:ascii="宋体" w:hAnsi="宋体"/>
          <w:color w:val="auto"/>
          <w:sz w:val="22"/>
          <w:szCs w:val="16"/>
        </w:rPr>
        <w:t>(</w:t>
      </w:r>
      <w:r>
        <w:rPr>
          <w:rFonts w:ascii="宋体" w:hAnsi="宋体"/>
          <w:color w:val="auto"/>
          <w:sz w:val="22"/>
          <w:szCs w:val="16"/>
        </w:rPr>
        <w:t>2</w:t>
      </w:r>
      <w:r>
        <w:rPr>
          <w:rFonts w:hint="eastAsia" w:ascii="宋体" w:hAnsi="宋体"/>
          <w:color w:val="auto"/>
          <w:sz w:val="22"/>
          <w:szCs w:val="16"/>
        </w:rPr>
        <w:t>)</w:t>
      </w:r>
      <w:r>
        <w:rPr>
          <w:rFonts w:hint="eastAsia" w:ascii="宋体" w:hAnsi="宋体"/>
          <w:color w:val="auto"/>
          <w:sz w:val="18"/>
          <w:szCs w:val="20"/>
        </w:rPr>
        <w:t xml:space="preserve"> </w:t>
      </w:r>
      <w:r>
        <w:rPr>
          <w:rFonts w:hint="eastAsia" w:ascii="宋体" w:hAnsi="宋体"/>
          <w:color w:val="auto"/>
          <w:sz w:val="22"/>
          <w:szCs w:val="16"/>
        </w:rPr>
        <w:t>成交供应商在采购人确认后7个工作日内，应按照须知前附表规定交纳履约保证金；</w:t>
      </w:r>
    </w:p>
    <w:p>
      <w:pPr>
        <w:pStyle w:val="175"/>
        <w:keepNext/>
        <w:spacing w:before="240" w:after="120" w:line="480" w:lineRule="atLeast"/>
        <w:ind w:firstLine="0" w:firstLineChars="0"/>
        <w:rPr>
          <w:rFonts w:ascii="宋体" w:hAnsi="宋体"/>
          <w:color w:val="auto"/>
          <w:sz w:val="22"/>
          <w:szCs w:val="16"/>
        </w:rPr>
      </w:pPr>
      <w:r>
        <w:rPr>
          <w:rFonts w:hint="eastAsia" w:ascii="宋体" w:hAnsi="宋体"/>
          <w:color w:val="auto"/>
          <w:sz w:val="22"/>
          <w:szCs w:val="16"/>
        </w:rPr>
        <w:t>(</w:t>
      </w:r>
      <w:r>
        <w:rPr>
          <w:rFonts w:ascii="宋体" w:hAnsi="宋体"/>
          <w:color w:val="auto"/>
          <w:sz w:val="22"/>
          <w:szCs w:val="16"/>
        </w:rPr>
        <w:t>3</w:t>
      </w:r>
      <w:r>
        <w:rPr>
          <w:rFonts w:hint="eastAsia" w:ascii="宋体" w:hAnsi="宋体"/>
          <w:color w:val="auto"/>
          <w:sz w:val="22"/>
          <w:szCs w:val="16"/>
        </w:rPr>
        <w:t>)买卖双方签订合同。</w:t>
      </w:r>
    </w:p>
    <w:p>
      <w:pPr>
        <w:keepLines/>
        <w:spacing w:before="240" w:after="120" w:line="480" w:lineRule="atLeast"/>
        <w:rPr>
          <w:rFonts w:ascii="宋体" w:hAnsi="宋体"/>
          <w:b/>
          <w:color w:val="auto"/>
          <w:sz w:val="22"/>
          <w:szCs w:val="16"/>
        </w:rPr>
      </w:pPr>
      <w:r>
        <w:rPr>
          <w:rFonts w:hint="eastAsia" w:ascii="宋体" w:hAnsi="宋体"/>
          <w:b/>
          <w:color w:val="auto"/>
          <w:sz w:val="22"/>
          <w:szCs w:val="16"/>
        </w:rPr>
        <w:t>6、合同条款</w:t>
      </w:r>
    </w:p>
    <w:p>
      <w:pPr>
        <w:keepLines/>
        <w:spacing w:before="240" w:after="120" w:line="480" w:lineRule="atLeast"/>
        <w:rPr>
          <w:rFonts w:ascii="宋体" w:hAnsi="宋体"/>
          <w:color w:val="auto"/>
          <w:sz w:val="22"/>
          <w:szCs w:val="16"/>
        </w:rPr>
      </w:pPr>
      <w:r>
        <w:rPr>
          <w:rFonts w:hint="eastAsia" w:ascii="宋体" w:hAnsi="宋体"/>
          <w:color w:val="auto"/>
          <w:sz w:val="22"/>
          <w:szCs w:val="16"/>
        </w:rPr>
        <w:t>（1）双方严格按合同履行：卖方应对提供服务保证质量、承诺服务措施，如有违约（不可抗力除外）买方有权从履约保证金中获得赔偿，履约保证金扣完为止，剩余履约保证金在服务期满验收合格后，经成交供应商申请退还；买方应积极配合，不得强迫对方接受合同外无理要求，依规定条件及时付款。</w:t>
      </w:r>
    </w:p>
    <w:p>
      <w:pPr>
        <w:keepLines/>
        <w:spacing w:before="240" w:after="120" w:line="480" w:lineRule="atLeast"/>
        <w:rPr>
          <w:rFonts w:ascii="宋体" w:hAnsi="宋体"/>
          <w:b/>
          <w:color w:val="auto"/>
          <w:sz w:val="22"/>
          <w:szCs w:val="16"/>
        </w:rPr>
      </w:pPr>
      <w:r>
        <w:rPr>
          <w:rFonts w:hint="eastAsia" w:ascii="宋体" w:hAnsi="宋体"/>
          <w:color w:val="auto"/>
          <w:sz w:val="22"/>
          <w:szCs w:val="16"/>
        </w:rPr>
        <w:t>（2）合同争端应通过友好协商解决，未解决可申请仲裁。</w:t>
      </w:r>
    </w:p>
    <w:p>
      <w:pPr>
        <w:keepLines/>
        <w:spacing w:before="240" w:after="120" w:line="480" w:lineRule="atLeast"/>
        <w:rPr>
          <w:rFonts w:ascii="宋体" w:hAnsi="宋体"/>
          <w:b/>
          <w:color w:val="auto"/>
          <w:sz w:val="22"/>
          <w:szCs w:val="16"/>
        </w:rPr>
      </w:pPr>
      <w:r>
        <w:rPr>
          <w:rFonts w:hint="eastAsia" w:ascii="宋体" w:hAnsi="宋体"/>
          <w:b/>
          <w:color w:val="auto"/>
          <w:sz w:val="22"/>
          <w:szCs w:val="16"/>
        </w:rPr>
        <w:t>7、付款方式</w:t>
      </w:r>
    </w:p>
    <w:p>
      <w:pPr>
        <w:keepLines/>
        <w:spacing w:before="240" w:after="120" w:line="480" w:lineRule="atLeast"/>
        <w:rPr>
          <w:rFonts w:ascii="宋体" w:hAnsi="宋体"/>
          <w:color w:val="auto"/>
          <w:sz w:val="22"/>
          <w:szCs w:val="16"/>
        </w:rPr>
      </w:pPr>
      <w:r>
        <w:rPr>
          <w:rFonts w:hint="eastAsia" w:ascii="宋体" w:hAnsi="宋体"/>
          <w:color w:val="auto"/>
          <w:sz w:val="22"/>
          <w:szCs w:val="16"/>
        </w:rPr>
        <w:t>（1）本项目在买方收到卖方提交2023年度合格的测评报告10个工作日内支付给卖方</w:t>
      </w:r>
      <w:r>
        <w:rPr>
          <w:rFonts w:hint="eastAsia" w:ascii="宋体" w:hAnsi="宋体"/>
          <w:color w:val="auto"/>
          <w:sz w:val="22"/>
          <w:szCs w:val="16"/>
          <w:lang w:eastAsia="zh-CN"/>
        </w:rPr>
        <w:t>全部</w:t>
      </w:r>
      <w:r>
        <w:rPr>
          <w:rFonts w:hint="eastAsia" w:ascii="宋体" w:hAnsi="宋体"/>
          <w:color w:val="auto"/>
          <w:sz w:val="22"/>
          <w:szCs w:val="16"/>
        </w:rPr>
        <w:t xml:space="preserve">应支付款项。 </w:t>
      </w:r>
    </w:p>
    <w:p>
      <w:pPr>
        <w:spacing w:before="240" w:after="120" w:line="480" w:lineRule="atLeast"/>
        <w:rPr>
          <w:rFonts w:ascii="宋体" w:hAnsi="宋体"/>
          <w:color w:val="auto"/>
          <w:sz w:val="22"/>
          <w:szCs w:val="16"/>
        </w:rPr>
      </w:pPr>
      <w:r>
        <w:rPr>
          <w:rFonts w:hint="eastAsia" w:ascii="宋体" w:hAnsi="宋体"/>
          <w:color w:val="auto"/>
          <w:sz w:val="22"/>
          <w:szCs w:val="16"/>
        </w:rPr>
        <w:t>（2）供应商提交的响应文件中如有关于付款条件的表述与磋商文件规定不符，将被视为实质性不响应，将导致响应无效。</w:t>
      </w:r>
    </w:p>
    <w:p>
      <w:pPr>
        <w:keepLines/>
        <w:spacing w:before="240" w:after="120" w:line="480" w:lineRule="atLeast"/>
        <w:rPr>
          <w:rFonts w:ascii="宋体" w:hAnsi="宋体"/>
          <w:b/>
          <w:color w:val="auto"/>
          <w:sz w:val="22"/>
          <w:szCs w:val="16"/>
        </w:rPr>
      </w:pPr>
      <w:r>
        <w:rPr>
          <w:rFonts w:hint="eastAsia" w:ascii="宋体" w:hAnsi="宋体"/>
          <w:b/>
          <w:color w:val="auto"/>
          <w:sz w:val="22"/>
          <w:szCs w:val="16"/>
        </w:rPr>
        <w:t>8、其他内容</w:t>
      </w:r>
    </w:p>
    <w:p>
      <w:pPr>
        <w:pStyle w:val="175"/>
        <w:keepNext/>
        <w:spacing w:before="240" w:after="120" w:line="480" w:lineRule="atLeast"/>
        <w:ind w:firstLine="0" w:firstLineChars="0"/>
        <w:rPr>
          <w:rFonts w:ascii="宋体" w:hAnsi="宋体"/>
          <w:color w:val="auto"/>
          <w:sz w:val="22"/>
          <w:szCs w:val="16"/>
        </w:rPr>
      </w:pPr>
      <w:r>
        <w:rPr>
          <w:rFonts w:hint="eastAsia" w:ascii="宋体" w:hAnsi="宋体"/>
          <w:color w:val="auto"/>
          <w:sz w:val="22"/>
          <w:szCs w:val="16"/>
        </w:rPr>
        <w:t>本项目竞争性磋商文件由采购人负责解释。</w:t>
      </w:r>
    </w:p>
    <w:p>
      <w:pPr>
        <w:spacing w:before="240" w:after="120" w:line="480" w:lineRule="atLeast"/>
        <w:rPr>
          <w:rFonts w:ascii="宋体" w:hAnsi="宋体"/>
          <w:color w:val="auto"/>
        </w:rPr>
      </w:pPr>
    </w:p>
    <w:p>
      <w:pPr>
        <w:spacing w:line="360" w:lineRule="auto"/>
        <w:jc w:val="center"/>
        <w:outlineLvl w:val="2"/>
        <w:rPr>
          <w:rFonts w:ascii="宋体" w:hAnsi="宋体" w:eastAsia="宋体"/>
          <w:b/>
          <w:color w:val="auto"/>
          <w:sz w:val="24"/>
        </w:rPr>
      </w:pPr>
      <w:r>
        <w:rPr>
          <w:rFonts w:ascii="宋体" w:hAnsi="宋体"/>
          <w:color w:val="auto"/>
        </w:rPr>
        <w:br w:type="page"/>
      </w:r>
      <w:bookmarkStart w:id="21" w:name="_Toc520983587"/>
      <w:r>
        <w:rPr>
          <w:rFonts w:hint="eastAsia" w:ascii="宋体" w:hAnsi="宋体" w:eastAsia="宋体"/>
          <w:b/>
          <w:color w:val="auto"/>
          <w:sz w:val="24"/>
        </w:rPr>
        <w:t>报价表格式</w:t>
      </w:r>
      <w:bookmarkEnd w:id="21"/>
    </w:p>
    <w:p>
      <w:pPr>
        <w:spacing w:before="156" w:beforeLines="50" w:after="156" w:afterLines="50" w:line="360" w:lineRule="auto"/>
        <w:jc w:val="left"/>
        <w:rPr>
          <w:rFonts w:ascii="宋体" w:hAnsi="宋体" w:eastAsia="宋体"/>
          <w:b/>
          <w:color w:val="auto"/>
          <w:sz w:val="24"/>
          <w:szCs w:val="28"/>
        </w:rPr>
      </w:pPr>
      <w:r>
        <w:rPr>
          <w:rFonts w:hint="eastAsia" w:ascii="宋体" w:hAnsi="宋体" w:eastAsia="宋体"/>
          <w:b/>
          <w:color w:val="auto"/>
          <w:sz w:val="24"/>
          <w:szCs w:val="28"/>
        </w:rPr>
        <w:t>1 报价表</w:t>
      </w:r>
    </w:p>
    <w:p>
      <w:pPr>
        <w:snapToGrid w:val="0"/>
        <w:spacing w:line="360" w:lineRule="auto"/>
        <w:jc w:val="left"/>
        <w:rPr>
          <w:rFonts w:hint="eastAsia" w:ascii="宋体" w:hAnsi="宋体" w:eastAsia="宋体"/>
          <w:b/>
          <w:color w:val="auto"/>
          <w:sz w:val="24"/>
          <w:szCs w:val="28"/>
          <w:u w:val="single"/>
        </w:rPr>
      </w:pPr>
      <w:r>
        <w:rPr>
          <w:rFonts w:hint="eastAsia" w:ascii="宋体" w:hAnsi="宋体" w:eastAsia="宋体"/>
          <w:b/>
          <w:color w:val="auto"/>
          <w:sz w:val="24"/>
          <w:szCs w:val="28"/>
        </w:rPr>
        <w:t>项目名称：</w:t>
      </w:r>
      <w:r>
        <w:rPr>
          <w:rFonts w:hint="eastAsia" w:ascii="宋体" w:hAnsi="宋体" w:eastAsia="宋体"/>
          <w:b/>
          <w:color w:val="auto"/>
          <w:sz w:val="24"/>
          <w:szCs w:val="28"/>
          <w:u w:val="single"/>
        </w:rPr>
        <w:t xml:space="preserve">  </w:t>
      </w:r>
      <w:r>
        <w:rPr>
          <w:rFonts w:hint="eastAsia" w:ascii="宋体" w:hAnsi="宋体" w:eastAsia="宋体"/>
          <w:b/>
          <w:color w:val="auto"/>
          <w:sz w:val="24"/>
          <w:szCs w:val="28"/>
          <w:u w:val="single"/>
          <w:lang w:val="en-US" w:eastAsia="zh-CN"/>
        </w:rPr>
        <w:t>2023年度淮北市公共资源交易中心信息系统等级保护测评项目</w:t>
      </w:r>
      <w:r>
        <w:rPr>
          <w:rFonts w:hint="eastAsia" w:ascii="宋体" w:hAnsi="宋体" w:eastAsia="宋体"/>
          <w:b/>
          <w:color w:val="auto"/>
          <w:sz w:val="24"/>
          <w:szCs w:val="28"/>
          <w:u w:val="single"/>
        </w:rPr>
        <w:t xml:space="preserve">      </w:t>
      </w:r>
    </w:p>
    <w:tbl>
      <w:tblPr>
        <w:tblStyle w:val="5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b/>
                <w:color w:val="auto"/>
                <w:sz w:val="24"/>
                <w:szCs w:val="20"/>
              </w:rPr>
            </w:pPr>
            <w:r>
              <w:rPr>
                <w:rFonts w:hint="eastAsia" w:ascii="宋体" w:hAnsi="宋体" w:eastAsia="宋体"/>
                <w:b/>
                <w:color w:val="auto"/>
                <w:sz w:val="24"/>
                <w:szCs w:val="20"/>
              </w:rPr>
              <w:t>供应商名称</w:t>
            </w:r>
          </w:p>
        </w:tc>
        <w:tc>
          <w:tcPr>
            <w:tcW w:w="6063" w:type="dxa"/>
            <w:tcBorders>
              <w:left w:val="single" w:color="auto" w:sz="4" w:space="0"/>
            </w:tcBorders>
            <w:noWrap w:val="0"/>
            <w:vAlign w:val="top"/>
          </w:tcPr>
          <w:p>
            <w:pPr>
              <w:keepNext w:val="0"/>
              <w:keepLines w:val="0"/>
              <w:suppressLineNumbers w:val="0"/>
              <w:spacing w:before="0" w:beforeAutospacing="0" w:after="0" w:afterAutospacing="0" w:line="360" w:lineRule="auto"/>
              <w:ind w:left="0" w:right="0"/>
              <w:rPr>
                <w:rFonts w:hint="default" w:ascii="宋体" w:hAnsi="宋体" w:eastAsia="宋体"/>
                <w:b/>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b/>
                <w:color w:val="auto"/>
                <w:sz w:val="24"/>
                <w:szCs w:val="20"/>
              </w:rPr>
            </w:pPr>
            <w:r>
              <w:rPr>
                <w:rFonts w:hint="eastAsia" w:ascii="宋体" w:hAnsi="宋体" w:eastAsia="宋体"/>
                <w:b/>
                <w:color w:val="auto"/>
                <w:sz w:val="24"/>
                <w:szCs w:val="20"/>
              </w:rPr>
              <w:t>磋商范围</w:t>
            </w:r>
          </w:p>
        </w:tc>
        <w:tc>
          <w:tcPr>
            <w:tcW w:w="6063" w:type="dxa"/>
            <w:tcBorders>
              <w:left w:val="single" w:color="auto" w:sz="4" w:space="0"/>
            </w:tcBorders>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eastAsia="宋体"/>
                <w:b/>
                <w:color w:val="auto"/>
                <w:sz w:val="24"/>
                <w:szCs w:val="20"/>
              </w:rPr>
            </w:pPr>
            <w:r>
              <w:rPr>
                <w:rFonts w:hint="eastAsia" w:ascii="宋体" w:hAnsi="宋体" w:eastAsia="宋体"/>
                <w:color w:val="auto"/>
                <w:sz w:val="24"/>
                <w:szCs w:val="28"/>
              </w:rPr>
              <w:t>全部 / 第</w:t>
            </w:r>
            <w:r>
              <w:rPr>
                <w:rFonts w:hint="eastAsia" w:ascii="宋体" w:hAnsi="宋体" w:eastAsia="宋体"/>
                <w:color w:val="auto"/>
                <w:sz w:val="24"/>
                <w:szCs w:val="28"/>
                <w:u w:val="single"/>
              </w:rPr>
              <w:t xml:space="preserve">   </w:t>
            </w:r>
            <w:r>
              <w:rPr>
                <w:rFonts w:hint="eastAsia" w:ascii="宋体" w:hAnsi="宋体" w:eastAsia="宋体"/>
                <w:color w:val="auto"/>
                <w:sz w:val="24"/>
                <w:szCs w:val="2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b/>
                <w:color w:val="auto"/>
                <w:sz w:val="24"/>
                <w:szCs w:val="20"/>
              </w:rPr>
            </w:pPr>
            <w:r>
              <w:rPr>
                <w:rFonts w:hint="eastAsia" w:ascii="宋体" w:hAnsi="宋体" w:eastAsia="宋体"/>
                <w:b/>
                <w:color w:val="auto"/>
                <w:sz w:val="24"/>
                <w:szCs w:val="20"/>
              </w:rPr>
              <w:t>报价</w:t>
            </w:r>
          </w:p>
          <w:p>
            <w:pPr>
              <w:keepNext w:val="0"/>
              <w:keepLines w:val="0"/>
              <w:suppressLineNumbers w:val="0"/>
              <w:spacing w:before="0" w:beforeAutospacing="0" w:after="0" w:afterAutospacing="0" w:line="360" w:lineRule="auto"/>
              <w:ind w:left="0" w:right="0"/>
              <w:jc w:val="center"/>
              <w:rPr>
                <w:rFonts w:hint="default" w:ascii="宋体" w:hAnsi="宋体" w:eastAsia="宋体"/>
                <w:b/>
                <w:color w:val="auto"/>
                <w:sz w:val="24"/>
                <w:szCs w:val="20"/>
              </w:rPr>
            </w:pPr>
            <w:r>
              <w:rPr>
                <w:rFonts w:hint="eastAsia" w:ascii="宋体" w:hAnsi="宋体" w:eastAsia="宋体"/>
                <w:b/>
                <w:color w:val="auto"/>
                <w:sz w:val="24"/>
                <w:szCs w:val="20"/>
              </w:rPr>
              <w:t>（详见备注说明）</w:t>
            </w:r>
          </w:p>
        </w:tc>
        <w:tc>
          <w:tcPr>
            <w:tcW w:w="6063" w:type="dxa"/>
            <w:noWrap w:val="0"/>
            <w:vAlign w:val="center"/>
          </w:tcPr>
          <w:p>
            <w:pPr>
              <w:keepNext w:val="0"/>
              <w:keepLines w:val="0"/>
              <w:suppressLineNumbers w:val="0"/>
              <w:snapToGrid w:val="0"/>
              <w:spacing w:before="0" w:beforeAutospacing="0" w:after="0" w:afterAutospacing="0" w:line="360" w:lineRule="auto"/>
              <w:ind w:left="0" w:right="0"/>
              <w:rPr>
                <w:rFonts w:hint="default" w:ascii="宋体" w:hAnsi="宋体" w:eastAsia="宋体"/>
                <w:color w:val="auto"/>
                <w:sz w:val="24"/>
                <w:szCs w:val="28"/>
              </w:rPr>
            </w:pPr>
          </w:p>
          <w:p>
            <w:pPr>
              <w:keepNext w:val="0"/>
              <w:keepLines w:val="0"/>
              <w:suppressLineNumbers w:val="0"/>
              <w:snapToGrid w:val="0"/>
              <w:spacing w:before="0" w:beforeAutospacing="0" w:after="0" w:afterAutospacing="0" w:line="360" w:lineRule="auto"/>
              <w:ind w:left="0" w:right="0"/>
              <w:rPr>
                <w:rFonts w:hint="default" w:ascii="宋体" w:hAnsi="宋体" w:eastAsia="宋体"/>
                <w:bCs/>
                <w:color w:val="auto"/>
                <w:sz w:val="24"/>
                <w:szCs w:val="20"/>
                <w:u w:val="single"/>
              </w:rPr>
            </w:pPr>
            <w:r>
              <w:rPr>
                <w:rFonts w:hint="eastAsia" w:ascii="宋体" w:hAnsi="宋体" w:eastAsia="宋体"/>
                <w:bCs/>
                <w:color w:val="auto"/>
                <w:sz w:val="24"/>
                <w:szCs w:val="20"/>
              </w:rPr>
              <w:t>人民币大写：</w:t>
            </w:r>
            <w:r>
              <w:rPr>
                <w:rFonts w:hint="eastAsia" w:ascii="宋体" w:hAnsi="宋体" w:eastAsia="宋体"/>
                <w:bCs/>
                <w:color w:val="auto"/>
                <w:sz w:val="24"/>
                <w:szCs w:val="20"/>
                <w:u w:val="single"/>
              </w:rPr>
              <w:t xml:space="preserve">                        </w:t>
            </w:r>
          </w:p>
          <w:p>
            <w:pPr>
              <w:keepNext w:val="0"/>
              <w:keepLines w:val="0"/>
              <w:suppressLineNumbers w:val="0"/>
              <w:snapToGrid w:val="0"/>
              <w:spacing w:before="0" w:beforeAutospacing="0" w:after="0" w:afterAutospacing="0" w:line="360" w:lineRule="auto"/>
              <w:ind w:left="0" w:right="0"/>
              <w:rPr>
                <w:rFonts w:hint="default" w:ascii="宋体" w:hAnsi="宋体" w:eastAsia="宋体"/>
                <w:b/>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245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b/>
                <w:color w:val="auto"/>
                <w:sz w:val="24"/>
                <w:szCs w:val="20"/>
              </w:rPr>
            </w:pPr>
            <w:r>
              <w:rPr>
                <w:rFonts w:hint="eastAsia" w:ascii="宋体" w:hAnsi="宋体" w:eastAsia="宋体"/>
                <w:b/>
                <w:color w:val="auto"/>
                <w:sz w:val="24"/>
                <w:szCs w:val="20"/>
              </w:rPr>
              <w:t>备注说明</w:t>
            </w:r>
          </w:p>
        </w:tc>
        <w:tc>
          <w:tcPr>
            <w:tcW w:w="6063" w:type="dxa"/>
            <w:noWrap w:val="0"/>
            <w:vAlign w:val="top"/>
          </w:tcPr>
          <w:p>
            <w:pPr>
              <w:keepNext w:val="0"/>
              <w:keepLines w:val="0"/>
              <w:suppressLineNumbers w:val="0"/>
              <w:spacing w:before="0" w:beforeAutospacing="0" w:after="0" w:afterAutospacing="0" w:line="360" w:lineRule="auto"/>
              <w:ind w:left="0" w:right="0"/>
              <w:rPr>
                <w:rFonts w:hint="default" w:ascii="宋体" w:hAnsi="宋体" w:eastAsia="宋体"/>
                <w:b/>
                <w:color w:val="auto"/>
                <w:sz w:val="24"/>
                <w:szCs w:val="20"/>
              </w:rPr>
            </w:pPr>
          </w:p>
        </w:tc>
      </w:tr>
    </w:tbl>
    <w:p>
      <w:pPr>
        <w:spacing w:line="440" w:lineRule="exact"/>
        <w:ind w:firstLine="5520" w:firstLineChars="2300"/>
        <w:rPr>
          <w:rFonts w:ascii="宋体" w:hAnsi="宋体" w:eastAsia="宋体"/>
          <w:color w:val="auto"/>
          <w:sz w:val="24"/>
          <w:szCs w:val="24"/>
        </w:rPr>
      </w:pPr>
      <w:r>
        <w:rPr>
          <w:rFonts w:hint="eastAsia" w:ascii="宋体" w:hAnsi="宋体" w:eastAsia="宋体"/>
          <w:color w:val="auto"/>
          <w:sz w:val="24"/>
          <w:szCs w:val="24"/>
        </w:rPr>
        <w:t xml:space="preserve">供应商签章：     </w:t>
      </w:r>
      <w:r>
        <w:rPr>
          <w:rFonts w:ascii="宋体" w:hAnsi="宋体" w:eastAsia="宋体"/>
          <w:color w:val="auto"/>
          <w:sz w:val="24"/>
          <w:szCs w:val="24"/>
        </w:rPr>
        <w:t xml:space="preserve">    </w:t>
      </w:r>
      <w:r>
        <w:rPr>
          <w:rFonts w:hint="eastAsia" w:ascii="宋体" w:hAnsi="宋体" w:eastAsia="宋体"/>
          <w:color w:val="auto"/>
          <w:sz w:val="24"/>
          <w:szCs w:val="24"/>
        </w:rPr>
        <w:t xml:space="preserve">    </w:t>
      </w:r>
    </w:p>
    <w:p>
      <w:pPr>
        <w:spacing w:line="440" w:lineRule="exact"/>
        <w:ind w:firstLine="5520" w:firstLineChars="2300"/>
        <w:rPr>
          <w:rFonts w:ascii="宋体" w:hAnsi="宋体" w:eastAsia="宋体"/>
          <w:color w:val="auto"/>
          <w:sz w:val="24"/>
          <w:szCs w:val="24"/>
        </w:rPr>
      </w:pPr>
      <w:r>
        <w:rPr>
          <w:rFonts w:hint="eastAsia" w:ascii="宋体" w:hAnsi="宋体" w:eastAsia="宋体"/>
          <w:color w:val="auto"/>
          <w:sz w:val="24"/>
          <w:szCs w:val="24"/>
        </w:rPr>
        <w:t xml:space="preserve">日     </w:t>
      </w:r>
      <w:r>
        <w:rPr>
          <w:rFonts w:ascii="宋体" w:hAnsi="宋体" w:eastAsia="宋体"/>
          <w:color w:val="auto"/>
          <w:sz w:val="24"/>
          <w:szCs w:val="24"/>
        </w:rPr>
        <w:t xml:space="preserve"> </w:t>
      </w:r>
      <w:r>
        <w:rPr>
          <w:rFonts w:hint="eastAsia" w:ascii="宋体" w:hAnsi="宋体" w:eastAsia="宋体"/>
          <w:color w:val="auto"/>
          <w:sz w:val="24"/>
          <w:szCs w:val="24"/>
        </w:rPr>
        <w:t xml:space="preserve">期：             </w:t>
      </w:r>
    </w:p>
    <w:p>
      <w:pPr>
        <w:adjustRightInd w:val="0"/>
        <w:snapToGrid w:val="0"/>
        <w:spacing w:line="360" w:lineRule="auto"/>
        <w:rPr>
          <w:rFonts w:ascii="宋体" w:hAnsi="宋体" w:eastAsia="宋体"/>
          <w:b/>
          <w:bCs/>
          <w:color w:val="auto"/>
          <w:sz w:val="24"/>
          <w:szCs w:val="28"/>
        </w:rPr>
      </w:pPr>
      <w:r>
        <w:rPr>
          <w:rFonts w:hint="eastAsia" w:ascii="宋体" w:hAnsi="宋体" w:eastAsia="宋体"/>
          <w:b/>
          <w:bCs/>
          <w:color w:val="auto"/>
          <w:sz w:val="24"/>
          <w:szCs w:val="28"/>
        </w:rPr>
        <w:t>注：</w:t>
      </w:r>
    </w:p>
    <w:p>
      <w:pPr>
        <w:adjustRightInd w:val="0"/>
        <w:snapToGrid w:val="0"/>
        <w:spacing w:line="360" w:lineRule="auto"/>
        <w:ind w:firstLine="480" w:firstLineChars="200"/>
        <w:rPr>
          <w:rFonts w:ascii="宋体" w:hAnsi="宋体" w:eastAsia="宋体"/>
          <w:color w:val="auto"/>
          <w:sz w:val="24"/>
        </w:rPr>
      </w:pPr>
      <w:r>
        <w:rPr>
          <w:rFonts w:hint="eastAsia" w:ascii="宋体" w:hAnsi="宋体" w:eastAsia="宋体"/>
          <w:b/>
          <w:bCs/>
          <w:color w:val="auto"/>
          <w:sz w:val="24"/>
          <w:szCs w:val="28"/>
        </w:rPr>
        <w:t>1.本表内容根据磋商文件要求包括了服务及其配套的设计、采购、制造、检测、试验、运输、保险、仓储、税费以及现场落地、安装及安装耗损、调试、验收、培训、技术服务（包括技术资料、图纸的提供）质保期内的售后服务保障等所有费用。</w:t>
      </w:r>
    </w:p>
    <w:p>
      <w:pPr>
        <w:adjustRightInd w:val="0"/>
        <w:snapToGrid w:val="0"/>
        <w:spacing w:line="360" w:lineRule="auto"/>
        <w:ind w:firstLine="480" w:firstLineChars="200"/>
        <w:rPr>
          <w:rFonts w:ascii="宋体" w:hAnsi="宋体" w:eastAsia="宋体"/>
          <w:b/>
          <w:bCs/>
          <w:color w:val="auto"/>
          <w:sz w:val="24"/>
          <w:szCs w:val="28"/>
        </w:rPr>
      </w:pPr>
      <w:r>
        <w:rPr>
          <w:rFonts w:hint="eastAsia" w:ascii="宋体" w:hAnsi="宋体" w:eastAsia="宋体"/>
          <w:b/>
          <w:bCs/>
          <w:color w:val="auto"/>
          <w:sz w:val="24"/>
          <w:szCs w:val="28"/>
        </w:rPr>
        <w:t>2.特殊事项在备注中注明。</w:t>
      </w:r>
    </w:p>
    <w:p>
      <w:pPr>
        <w:adjustRightInd w:val="0"/>
        <w:snapToGrid w:val="0"/>
        <w:spacing w:line="360" w:lineRule="auto"/>
        <w:ind w:firstLine="480" w:firstLineChars="200"/>
        <w:rPr>
          <w:rFonts w:ascii="宋体" w:hAnsi="宋体" w:eastAsia="宋体"/>
          <w:b/>
          <w:bCs/>
          <w:color w:val="auto"/>
          <w:sz w:val="24"/>
          <w:szCs w:val="28"/>
        </w:rPr>
      </w:pPr>
      <w:r>
        <w:rPr>
          <w:rFonts w:hint="eastAsia" w:ascii="宋体" w:hAnsi="宋体" w:eastAsia="宋体"/>
          <w:b/>
          <w:bCs/>
          <w:color w:val="auto"/>
          <w:sz w:val="24"/>
          <w:szCs w:val="28"/>
        </w:rPr>
        <w:t>3.供应商应根据其响应文件中报价表的内容填写唱标信息，唱标信息不作为评审的依据。唱标信息与报价表不一致的，</w:t>
      </w:r>
      <w:r>
        <w:rPr>
          <w:rFonts w:ascii="宋体" w:hAnsi="宋体" w:eastAsia="宋体"/>
          <w:b/>
          <w:bCs/>
          <w:color w:val="auto"/>
          <w:sz w:val="24"/>
          <w:szCs w:val="28"/>
        </w:rPr>
        <w:t>以</w:t>
      </w:r>
      <w:r>
        <w:rPr>
          <w:rFonts w:hint="eastAsia" w:ascii="宋体" w:hAnsi="宋体" w:eastAsia="宋体"/>
          <w:b/>
          <w:bCs/>
          <w:color w:val="auto"/>
          <w:sz w:val="24"/>
          <w:szCs w:val="28"/>
        </w:rPr>
        <w:t>报价表为准。</w:t>
      </w:r>
    </w:p>
    <w:p>
      <w:pPr>
        <w:spacing w:before="156" w:beforeLines="50" w:after="156" w:afterLines="50" w:line="360" w:lineRule="auto"/>
        <w:jc w:val="left"/>
        <w:rPr>
          <w:rFonts w:hint="eastAsia" w:ascii="宋体" w:hAnsi="宋体" w:eastAsia="宋体"/>
          <w:b/>
          <w:color w:val="auto"/>
          <w:sz w:val="24"/>
          <w:szCs w:val="28"/>
        </w:rPr>
      </w:pPr>
    </w:p>
    <w:p>
      <w:pPr>
        <w:spacing w:before="156" w:beforeLines="50" w:after="156" w:afterLines="50" w:line="360" w:lineRule="auto"/>
        <w:jc w:val="left"/>
        <w:rPr>
          <w:rFonts w:hint="eastAsia" w:ascii="宋体" w:hAnsi="宋体" w:eastAsia="宋体"/>
          <w:b/>
          <w:color w:val="auto"/>
          <w:sz w:val="24"/>
          <w:szCs w:val="28"/>
        </w:rPr>
      </w:pPr>
    </w:p>
    <w:p>
      <w:pPr>
        <w:spacing w:before="156" w:beforeLines="50" w:after="156" w:afterLines="50" w:line="360" w:lineRule="auto"/>
        <w:jc w:val="left"/>
        <w:rPr>
          <w:rFonts w:ascii="宋体" w:hAnsi="宋体" w:eastAsia="宋体"/>
          <w:b/>
          <w:color w:val="auto"/>
          <w:sz w:val="24"/>
          <w:szCs w:val="28"/>
        </w:rPr>
      </w:pPr>
      <w:r>
        <w:rPr>
          <w:rFonts w:hint="eastAsia" w:ascii="宋体" w:hAnsi="宋体" w:eastAsia="宋体"/>
          <w:b/>
          <w:color w:val="auto"/>
          <w:sz w:val="24"/>
          <w:szCs w:val="28"/>
        </w:rPr>
        <w:t>2 分项报价明细表</w:t>
      </w:r>
    </w:p>
    <w:p>
      <w:pPr>
        <w:spacing w:line="360" w:lineRule="auto"/>
        <w:ind w:firstLine="435"/>
        <w:jc w:val="center"/>
        <w:rPr>
          <w:rFonts w:ascii="宋体" w:hAnsi="宋体" w:eastAsia="宋体"/>
          <w:b/>
          <w:color w:val="auto"/>
          <w:sz w:val="24"/>
        </w:rPr>
      </w:pPr>
      <w:r>
        <w:rPr>
          <w:rFonts w:hint="eastAsia" w:ascii="宋体" w:hAnsi="宋体" w:eastAsia="宋体"/>
          <w:i/>
          <w:color w:val="auto"/>
          <w:sz w:val="24"/>
        </w:rPr>
        <w:t>（仅供参考，供应商可自行制作格式）</w:t>
      </w:r>
    </w:p>
    <w:tbl>
      <w:tblPr>
        <w:tblStyle w:val="5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109"/>
        <w:gridCol w:w="1357"/>
        <w:gridCol w:w="1698"/>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90"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rPr>
            </w:pPr>
            <w:r>
              <w:rPr>
                <w:rFonts w:hint="eastAsia" w:ascii="宋体" w:hAnsi="宋体" w:eastAsia="宋体"/>
                <w:b/>
                <w:color w:val="auto"/>
                <w:sz w:val="24"/>
                <w:szCs w:val="20"/>
              </w:rPr>
              <w:t>序号</w:t>
            </w:r>
          </w:p>
        </w:tc>
        <w:tc>
          <w:tcPr>
            <w:tcW w:w="3109"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rPr>
            </w:pPr>
            <w:r>
              <w:rPr>
                <w:rFonts w:hint="eastAsia" w:ascii="宋体" w:hAnsi="宋体" w:eastAsia="宋体"/>
                <w:b/>
                <w:color w:val="auto"/>
                <w:sz w:val="24"/>
                <w:szCs w:val="20"/>
              </w:rPr>
              <w:t>服务内容</w:t>
            </w:r>
          </w:p>
        </w:tc>
        <w:tc>
          <w:tcPr>
            <w:tcW w:w="1357"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rPr>
            </w:pPr>
            <w:r>
              <w:rPr>
                <w:rFonts w:hint="eastAsia" w:ascii="宋体" w:hAnsi="宋体" w:eastAsia="宋体"/>
                <w:b/>
                <w:color w:val="auto"/>
                <w:sz w:val="24"/>
                <w:szCs w:val="20"/>
              </w:rPr>
              <w:t>项</w:t>
            </w:r>
          </w:p>
        </w:tc>
        <w:tc>
          <w:tcPr>
            <w:tcW w:w="1698"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rPr>
            </w:pPr>
            <w:r>
              <w:rPr>
                <w:rFonts w:hint="eastAsia" w:ascii="宋体" w:hAnsi="宋体" w:eastAsia="宋体"/>
                <w:b/>
                <w:color w:val="auto"/>
                <w:sz w:val="24"/>
                <w:szCs w:val="20"/>
              </w:rPr>
              <w:t>单价</w:t>
            </w:r>
          </w:p>
        </w:tc>
        <w:tc>
          <w:tcPr>
            <w:tcW w:w="1568"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rPr>
            </w:pPr>
            <w:r>
              <w:rPr>
                <w:rFonts w:hint="eastAsia" w:ascii="宋体" w:hAnsi="宋体" w:eastAsia="宋体"/>
                <w:b/>
                <w:color w:val="auto"/>
                <w:sz w:val="24"/>
                <w:szCs w:val="20"/>
              </w:rPr>
              <w:t>小计金额（元）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r>
              <w:rPr>
                <w:rFonts w:hint="eastAsia" w:ascii="宋体" w:hAnsi="宋体" w:eastAsia="宋体"/>
                <w:color w:val="auto"/>
                <w:sz w:val="24"/>
                <w:szCs w:val="20"/>
              </w:rPr>
              <w:t>1</w:t>
            </w:r>
          </w:p>
        </w:tc>
        <w:tc>
          <w:tcPr>
            <w:tcW w:w="3109"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p>
        </w:tc>
        <w:tc>
          <w:tcPr>
            <w:tcW w:w="1357"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p>
        </w:tc>
        <w:tc>
          <w:tcPr>
            <w:tcW w:w="1698"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p>
        </w:tc>
        <w:tc>
          <w:tcPr>
            <w:tcW w:w="1568"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r>
              <w:rPr>
                <w:rFonts w:hint="eastAsia" w:ascii="宋体" w:hAnsi="宋体" w:eastAsia="宋体"/>
                <w:color w:val="auto"/>
                <w:sz w:val="24"/>
                <w:szCs w:val="20"/>
              </w:rPr>
              <w:t>2</w:t>
            </w:r>
          </w:p>
        </w:tc>
        <w:tc>
          <w:tcPr>
            <w:tcW w:w="3109"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p>
        </w:tc>
        <w:tc>
          <w:tcPr>
            <w:tcW w:w="1357"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p>
        </w:tc>
        <w:tc>
          <w:tcPr>
            <w:tcW w:w="1698"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p>
        </w:tc>
        <w:tc>
          <w:tcPr>
            <w:tcW w:w="1568"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r>
              <w:rPr>
                <w:rFonts w:hint="eastAsia" w:ascii="宋体" w:hAnsi="宋体" w:eastAsia="宋体"/>
                <w:color w:val="auto"/>
                <w:sz w:val="24"/>
                <w:szCs w:val="20"/>
              </w:rPr>
              <w:t>3</w:t>
            </w:r>
          </w:p>
        </w:tc>
        <w:tc>
          <w:tcPr>
            <w:tcW w:w="3109"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p>
        </w:tc>
        <w:tc>
          <w:tcPr>
            <w:tcW w:w="1357"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p>
        </w:tc>
        <w:tc>
          <w:tcPr>
            <w:tcW w:w="1698"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p>
        </w:tc>
        <w:tc>
          <w:tcPr>
            <w:tcW w:w="1568"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r>
              <w:rPr>
                <w:rFonts w:hint="default" w:ascii="宋体" w:hAnsi="宋体" w:eastAsia="宋体"/>
                <w:color w:val="auto"/>
                <w:sz w:val="24"/>
                <w:szCs w:val="20"/>
              </w:rPr>
              <w:t>…</w:t>
            </w:r>
          </w:p>
        </w:tc>
        <w:tc>
          <w:tcPr>
            <w:tcW w:w="3109"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p>
        </w:tc>
        <w:tc>
          <w:tcPr>
            <w:tcW w:w="1357"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p>
        </w:tc>
        <w:tc>
          <w:tcPr>
            <w:tcW w:w="1698"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p>
        </w:tc>
        <w:tc>
          <w:tcPr>
            <w:tcW w:w="1568"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p>
        </w:tc>
        <w:tc>
          <w:tcPr>
            <w:tcW w:w="3109" w:type="dxa"/>
            <w:noWrap w:val="0"/>
            <w:vAlign w:val="center"/>
          </w:tcPr>
          <w:p>
            <w:pPr>
              <w:pStyle w:val="326"/>
              <w:keepNext w:val="0"/>
              <w:keepLines w:val="0"/>
              <w:suppressLineNumbers w:val="0"/>
              <w:spacing w:before="0" w:beforeAutospacing="0" w:after="0" w:afterAutospacing="0"/>
              <w:ind w:left="-108" w:right="0"/>
              <w:jc w:val="center"/>
              <w:rPr>
                <w:rFonts w:hint="default" w:ascii="宋体" w:hAnsi="宋体"/>
                <w:color w:val="auto"/>
                <w:szCs w:val="20"/>
              </w:rPr>
            </w:pPr>
            <w:r>
              <w:rPr>
                <w:rFonts w:hint="eastAsia" w:ascii="宋体" w:hAnsi="宋体"/>
                <w:color w:val="auto"/>
                <w:szCs w:val="20"/>
              </w:rPr>
              <w:t>其他费用</w:t>
            </w:r>
          </w:p>
        </w:tc>
        <w:tc>
          <w:tcPr>
            <w:tcW w:w="1357"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p>
        </w:tc>
        <w:tc>
          <w:tcPr>
            <w:tcW w:w="1698"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p>
        </w:tc>
        <w:tc>
          <w:tcPr>
            <w:tcW w:w="1568"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p>
        </w:tc>
        <w:tc>
          <w:tcPr>
            <w:tcW w:w="3109"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r>
              <w:rPr>
                <w:rFonts w:hint="default" w:ascii="宋体" w:hAnsi="宋体" w:eastAsia="宋体"/>
                <w:color w:val="auto"/>
                <w:sz w:val="24"/>
                <w:szCs w:val="20"/>
              </w:rPr>
              <w:t>……</w:t>
            </w:r>
          </w:p>
        </w:tc>
        <w:tc>
          <w:tcPr>
            <w:tcW w:w="1357"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p>
        </w:tc>
        <w:tc>
          <w:tcPr>
            <w:tcW w:w="1698"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p>
        </w:tc>
        <w:tc>
          <w:tcPr>
            <w:tcW w:w="1568"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54" w:type="dxa"/>
            <w:gridSpan w:val="4"/>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r>
              <w:rPr>
                <w:rFonts w:hint="eastAsia" w:ascii="宋体" w:hAnsi="宋体" w:eastAsia="宋体"/>
                <w:b/>
                <w:color w:val="auto"/>
                <w:sz w:val="24"/>
                <w:szCs w:val="20"/>
              </w:rPr>
              <w:t>合计金额（元）</w:t>
            </w:r>
          </w:p>
        </w:tc>
        <w:tc>
          <w:tcPr>
            <w:tcW w:w="1568"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rPr>
            </w:pPr>
          </w:p>
        </w:tc>
      </w:tr>
    </w:tbl>
    <w:p>
      <w:pPr>
        <w:spacing w:line="440" w:lineRule="exact"/>
        <w:ind w:firstLine="4800" w:firstLineChars="2000"/>
        <w:rPr>
          <w:rFonts w:ascii="宋体" w:hAnsi="宋体" w:eastAsia="宋体"/>
          <w:color w:val="auto"/>
          <w:sz w:val="24"/>
          <w:szCs w:val="24"/>
        </w:rPr>
      </w:pPr>
      <w:r>
        <w:rPr>
          <w:rFonts w:hint="eastAsia" w:ascii="宋体" w:hAnsi="宋体" w:eastAsia="宋体"/>
          <w:color w:val="auto"/>
          <w:sz w:val="24"/>
          <w:szCs w:val="24"/>
        </w:rPr>
        <w:t xml:space="preserve">供应商签章：     </w:t>
      </w:r>
      <w:r>
        <w:rPr>
          <w:rFonts w:ascii="宋体" w:hAnsi="宋体" w:eastAsia="宋体"/>
          <w:color w:val="auto"/>
          <w:sz w:val="24"/>
          <w:szCs w:val="24"/>
        </w:rPr>
        <w:t xml:space="preserve">    </w:t>
      </w:r>
      <w:r>
        <w:rPr>
          <w:rFonts w:hint="eastAsia" w:ascii="宋体" w:hAnsi="宋体" w:eastAsia="宋体"/>
          <w:color w:val="auto"/>
          <w:sz w:val="24"/>
          <w:szCs w:val="24"/>
        </w:rPr>
        <w:t xml:space="preserve">    </w:t>
      </w:r>
    </w:p>
    <w:p>
      <w:pPr>
        <w:spacing w:line="440" w:lineRule="exact"/>
        <w:ind w:firstLine="4800" w:firstLineChars="2000"/>
        <w:rPr>
          <w:rFonts w:ascii="宋体" w:hAnsi="宋体" w:eastAsia="宋体"/>
          <w:color w:val="auto"/>
          <w:sz w:val="24"/>
          <w:szCs w:val="24"/>
        </w:rPr>
      </w:pPr>
      <w:r>
        <w:rPr>
          <w:rFonts w:hint="eastAsia" w:ascii="宋体" w:hAnsi="宋体" w:eastAsia="宋体"/>
          <w:color w:val="auto"/>
          <w:sz w:val="24"/>
          <w:szCs w:val="24"/>
        </w:rPr>
        <w:t xml:space="preserve">日     </w:t>
      </w:r>
      <w:r>
        <w:rPr>
          <w:rFonts w:ascii="宋体" w:hAnsi="宋体" w:eastAsia="宋体"/>
          <w:color w:val="auto"/>
          <w:sz w:val="24"/>
          <w:szCs w:val="24"/>
        </w:rPr>
        <w:t xml:space="preserve"> </w:t>
      </w:r>
      <w:r>
        <w:rPr>
          <w:rFonts w:hint="eastAsia" w:ascii="宋体" w:hAnsi="宋体" w:eastAsia="宋体"/>
          <w:color w:val="auto"/>
          <w:sz w:val="24"/>
          <w:szCs w:val="24"/>
        </w:rPr>
        <w:t xml:space="preserve">期：             </w:t>
      </w:r>
    </w:p>
    <w:p>
      <w:pPr>
        <w:adjustRightInd w:val="0"/>
        <w:snapToGrid w:val="0"/>
        <w:spacing w:line="360" w:lineRule="auto"/>
        <w:rPr>
          <w:rFonts w:ascii="宋体" w:hAnsi="宋体" w:eastAsia="宋体"/>
          <w:b/>
          <w:bCs/>
          <w:color w:val="auto"/>
          <w:sz w:val="24"/>
          <w:szCs w:val="28"/>
        </w:rPr>
      </w:pPr>
      <w:r>
        <w:rPr>
          <w:rFonts w:hint="eastAsia" w:ascii="宋体" w:hAnsi="宋体" w:eastAsia="宋体"/>
          <w:b/>
          <w:bCs/>
          <w:color w:val="auto"/>
          <w:sz w:val="24"/>
          <w:szCs w:val="28"/>
        </w:rPr>
        <w:t>备注：</w:t>
      </w:r>
    </w:p>
    <w:p>
      <w:pPr>
        <w:adjustRightInd w:val="0"/>
        <w:snapToGrid w:val="0"/>
        <w:spacing w:line="360" w:lineRule="auto"/>
        <w:ind w:firstLine="480" w:firstLineChars="200"/>
        <w:rPr>
          <w:rFonts w:ascii="宋体" w:hAnsi="宋体" w:eastAsia="宋体"/>
          <w:b/>
          <w:bCs/>
          <w:color w:val="auto"/>
          <w:sz w:val="24"/>
          <w:szCs w:val="28"/>
        </w:rPr>
      </w:pPr>
      <w:r>
        <w:rPr>
          <w:rFonts w:hint="eastAsia" w:ascii="宋体" w:hAnsi="宋体" w:eastAsia="宋体"/>
          <w:b/>
          <w:bCs/>
          <w:color w:val="auto"/>
          <w:sz w:val="24"/>
          <w:szCs w:val="28"/>
        </w:rPr>
        <w:t>表中所列服务为对应本项目需求的全部服务内容。如有漏项或缺项，供应商承担全部责任。</w:t>
      </w:r>
    </w:p>
    <w:p>
      <w:pPr>
        <w:widowControl/>
        <w:jc w:val="left"/>
        <w:rPr>
          <w:rFonts w:ascii="宋体" w:hAnsi="宋体"/>
          <w:color w:val="auto"/>
        </w:rPr>
      </w:pPr>
      <w:r>
        <w:rPr>
          <w:rFonts w:ascii="宋体" w:hAnsi="宋体" w:eastAsia="宋体"/>
          <w:b/>
          <w:bCs/>
          <w:color w:val="auto"/>
          <w:sz w:val="24"/>
          <w:szCs w:val="28"/>
        </w:rPr>
        <w:br w:type="page"/>
      </w:r>
    </w:p>
    <w:p>
      <w:pPr>
        <w:jc w:val="center"/>
        <w:rPr>
          <w:rFonts w:ascii="仿宋" w:hAnsi="仿宋" w:eastAsia="仿宋" w:cs="仿宋"/>
          <w:color w:val="auto"/>
          <w:sz w:val="44"/>
          <w:szCs w:val="44"/>
        </w:rPr>
      </w:pPr>
      <w:r>
        <w:rPr>
          <w:rFonts w:hint="eastAsia" w:ascii="仿宋" w:hAnsi="仿宋" w:eastAsia="仿宋" w:cs="仿宋"/>
          <w:b/>
          <w:bCs/>
          <w:color w:val="auto"/>
          <w:sz w:val="36"/>
          <w:szCs w:val="36"/>
        </w:rPr>
        <w:t>服务响应表</w:t>
      </w:r>
    </w:p>
    <w:p>
      <w:pPr>
        <w:jc w:val="center"/>
        <w:rPr>
          <w:rFonts w:ascii="仿宋" w:hAnsi="仿宋" w:eastAsia="仿宋" w:cs="仿宋"/>
          <w:b/>
          <w:bCs/>
          <w:color w:val="auto"/>
          <w:sz w:val="24"/>
          <w:szCs w:val="24"/>
        </w:rPr>
      </w:pPr>
    </w:p>
    <w:tbl>
      <w:tblPr>
        <w:tblStyle w:val="50"/>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568"/>
        <w:gridCol w:w="2686"/>
        <w:gridCol w:w="2044"/>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50" w:type="dxa"/>
            <w:gridSpan w:val="3"/>
            <w:vAlign w:val="center"/>
          </w:tcPr>
          <w:p>
            <w:pPr>
              <w:keepNext w:val="0"/>
              <w:keepLines w:val="0"/>
              <w:suppressLineNumbers w:val="0"/>
              <w:adjustRightInd w:val="0"/>
              <w:snapToGrid w:val="0"/>
              <w:spacing w:before="0" w:beforeAutospacing="0" w:after="0" w:afterAutospacing="0"/>
              <w:ind w:left="0" w:right="0"/>
              <w:jc w:val="center"/>
              <w:rPr>
                <w:rFonts w:ascii="仿宋" w:hAnsi="仿宋" w:eastAsia="仿宋" w:cs="仿宋"/>
                <w:bCs/>
                <w:color w:val="auto"/>
                <w:sz w:val="28"/>
                <w:szCs w:val="28"/>
              </w:rPr>
            </w:pPr>
            <w:r>
              <w:rPr>
                <w:rFonts w:hint="eastAsia" w:ascii="仿宋" w:hAnsi="仿宋" w:eastAsia="仿宋" w:cs="仿宋"/>
                <w:bCs/>
                <w:color w:val="auto"/>
                <w:sz w:val="28"/>
                <w:szCs w:val="28"/>
              </w:rPr>
              <w:t>按招标文件规定填写</w:t>
            </w:r>
          </w:p>
        </w:tc>
        <w:tc>
          <w:tcPr>
            <w:tcW w:w="3829" w:type="dxa"/>
            <w:gridSpan w:val="2"/>
            <w:vAlign w:val="center"/>
          </w:tcPr>
          <w:p>
            <w:pPr>
              <w:keepNext w:val="0"/>
              <w:keepLines w:val="0"/>
              <w:suppressLineNumbers w:val="0"/>
              <w:adjustRightInd w:val="0"/>
              <w:snapToGrid w:val="0"/>
              <w:spacing w:before="0" w:beforeAutospacing="0" w:after="0" w:afterAutospacing="0"/>
              <w:ind w:left="0" w:right="0"/>
              <w:jc w:val="center"/>
              <w:rPr>
                <w:rFonts w:ascii="仿宋" w:hAnsi="仿宋" w:eastAsia="仿宋" w:cs="仿宋"/>
                <w:bCs/>
                <w:color w:val="auto"/>
                <w:sz w:val="28"/>
                <w:szCs w:val="28"/>
              </w:rPr>
            </w:pPr>
            <w:r>
              <w:rPr>
                <w:rFonts w:hint="eastAsia" w:ascii="仿宋" w:hAnsi="仿宋" w:eastAsia="仿宋" w:cs="仿宋"/>
                <w:bCs/>
                <w:color w:val="auto"/>
                <w:sz w:val="28"/>
                <w:szCs w:val="28"/>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96" w:type="dxa"/>
            <w:vAlign w:val="center"/>
          </w:tcPr>
          <w:p>
            <w:pPr>
              <w:keepNext w:val="0"/>
              <w:keepLines w:val="0"/>
              <w:suppressLineNumbers w:val="0"/>
              <w:adjustRightInd w:val="0"/>
              <w:snapToGrid w:val="0"/>
              <w:spacing w:before="0" w:beforeAutospacing="0" w:after="0" w:afterAutospacing="0"/>
              <w:ind w:left="0" w:right="0"/>
              <w:jc w:val="center"/>
              <w:rPr>
                <w:rFonts w:ascii="仿宋" w:hAnsi="仿宋" w:eastAsia="仿宋" w:cs="仿宋"/>
                <w:bCs/>
                <w:color w:val="auto"/>
                <w:sz w:val="28"/>
                <w:szCs w:val="28"/>
              </w:rPr>
            </w:pPr>
            <w:r>
              <w:rPr>
                <w:rFonts w:hint="eastAsia" w:ascii="仿宋" w:hAnsi="仿宋" w:eastAsia="仿宋" w:cs="仿宋"/>
                <w:bCs/>
                <w:color w:val="auto"/>
                <w:sz w:val="28"/>
                <w:szCs w:val="28"/>
              </w:rPr>
              <w:t>序号</w:t>
            </w:r>
          </w:p>
        </w:tc>
        <w:tc>
          <w:tcPr>
            <w:tcW w:w="1568" w:type="dxa"/>
            <w:vAlign w:val="center"/>
          </w:tcPr>
          <w:p>
            <w:pPr>
              <w:keepNext w:val="0"/>
              <w:keepLines w:val="0"/>
              <w:suppressLineNumbers w:val="0"/>
              <w:adjustRightInd w:val="0"/>
              <w:snapToGrid w:val="0"/>
              <w:spacing w:before="0" w:beforeAutospacing="0" w:after="0" w:afterAutospacing="0"/>
              <w:ind w:left="0" w:right="0"/>
              <w:jc w:val="center"/>
              <w:rPr>
                <w:rFonts w:ascii="仿宋" w:hAnsi="仿宋" w:eastAsia="仿宋" w:cs="仿宋"/>
                <w:bCs/>
                <w:color w:val="auto"/>
                <w:sz w:val="28"/>
                <w:szCs w:val="28"/>
              </w:rPr>
            </w:pPr>
            <w:r>
              <w:rPr>
                <w:rFonts w:hint="eastAsia" w:ascii="仿宋" w:hAnsi="仿宋" w:eastAsia="仿宋" w:cs="仿宋"/>
                <w:bCs/>
                <w:color w:val="auto"/>
                <w:sz w:val="28"/>
                <w:szCs w:val="28"/>
              </w:rPr>
              <w:t>品名</w:t>
            </w:r>
          </w:p>
        </w:tc>
        <w:tc>
          <w:tcPr>
            <w:tcW w:w="4730" w:type="dxa"/>
            <w:gridSpan w:val="2"/>
            <w:vAlign w:val="center"/>
          </w:tcPr>
          <w:p>
            <w:pPr>
              <w:keepNext w:val="0"/>
              <w:keepLines w:val="0"/>
              <w:suppressLineNumbers w:val="0"/>
              <w:adjustRightInd w:val="0"/>
              <w:snapToGrid w:val="0"/>
              <w:spacing w:before="0" w:beforeAutospacing="0" w:after="0" w:afterAutospacing="0"/>
              <w:ind w:left="0" w:right="0" w:firstLine="2058" w:firstLineChars="735"/>
              <w:rPr>
                <w:rFonts w:ascii="仿宋" w:hAnsi="仿宋" w:eastAsia="仿宋" w:cs="仿宋"/>
                <w:bCs/>
                <w:color w:val="auto"/>
                <w:sz w:val="28"/>
                <w:szCs w:val="28"/>
              </w:rPr>
            </w:pPr>
            <w:r>
              <w:rPr>
                <w:rFonts w:hint="eastAsia" w:ascii="仿宋" w:hAnsi="仿宋" w:eastAsia="仿宋" w:cs="仿宋"/>
                <w:bCs/>
                <w:color w:val="auto"/>
                <w:sz w:val="28"/>
                <w:szCs w:val="28"/>
              </w:rPr>
              <w:t>服务内容</w:t>
            </w:r>
          </w:p>
        </w:tc>
        <w:tc>
          <w:tcPr>
            <w:tcW w:w="1785" w:type="dxa"/>
            <w:vAlign w:val="center"/>
          </w:tcPr>
          <w:p>
            <w:pPr>
              <w:keepNext w:val="0"/>
              <w:keepLines w:val="0"/>
              <w:suppressLineNumbers w:val="0"/>
              <w:adjustRightInd w:val="0"/>
              <w:snapToGrid w:val="0"/>
              <w:spacing w:before="0" w:beforeAutospacing="0" w:after="0" w:afterAutospacing="0"/>
              <w:ind w:left="0" w:right="0"/>
              <w:jc w:val="center"/>
              <w:rPr>
                <w:rFonts w:ascii="仿宋" w:hAnsi="仿宋" w:eastAsia="仿宋" w:cs="仿宋"/>
                <w:bCs/>
                <w:color w:val="auto"/>
                <w:sz w:val="28"/>
                <w:szCs w:val="28"/>
              </w:rPr>
            </w:pPr>
            <w:r>
              <w:rPr>
                <w:rFonts w:hint="eastAsia" w:ascii="仿宋" w:hAnsi="仿宋" w:eastAsia="仿宋" w:cs="仿宋"/>
                <w:bCs/>
                <w:color w:val="auto"/>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6" w:type="dxa"/>
            <w:vAlign w:val="center"/>
          </w:tcPr>
          <w:p>
            <w:pPr>
              <w:keepNext w:val="0"/>
              <w:keepLines w:val="0"/>
              <w:suppressLineNumbers w:val="0"/>
              <w:adjustRightInd w:val="0"/>
              <w:snapToGrid w:val="0"/>
              <w:spacing w:before="0" w:beforeAutospacing="0" w:after="0" w:afterAutospacing="0"/>
              <w:ind w:left="0" w:right="0"/>
              <w:jc w:val="center"/>
              <w:rPr>
                <w:rFonts w:ascii="仿宋" w:hAnsi="仿宋" w:eastAsia="仿宋" w:cs="仿宋"/>
                <w:color w:val="auto"/>
                <w:sz w:val="28"/>
                <w:szCs w:val="28"/>
              </w:rPr>
            </w:pPr>
            <w:r>
              <w:rPr>
                <w:rFonts w:hint="eastAsia" w:ascii="仿宋" w:hAnsi="仿宋" w:eastAsia="仿宋" w:cs="仿宋"/>
                <w:color w:val="auto"/>
                <w:sz w:val="28"/>
                <w:szCs w:val="28"/>
              </w:rPr>
              <w:t>1</w:t>
            </w:r>
          </w:p>
        </w:tc>
        <w:tc>
          <w:tcPr>
            <w:tcW w:w="1568" w:type="dxa"/>
          </w:tcPr>
          <w:p>
            <w:pPr>
              <w:keepNext w:val="0"/>
              <w:keepLines w:val="0"/>
              <w:suppressLineNumbers w:val="0"/>
              <w:adjustRightInd w:val="0"/>
              <w:snapToGrid w:val="0"/>
              <w:spacing w:before="0" w:beforeAutospacing="0" w:after="0" w:afterAutospacing="0"/>
              <w:ind w:left="0" w:right="0"/>
              <w:rPr>
                <w:rFonts w:ascii="仿宋" w:hAnsi="仿宋" w:eastAsia="仿宋" w:cs="仿宋"/>
                <w:color w:val="auto"/>
                <w:sz w:val="28"/>
                <w:szCs w:val="28"/>
              </w:rPr>
            </w:pPr>
          </w:p>
        </w:tc>
        <w:tc>
          <w:tcPr>
            <w:tcW w:w="4730" w:type="dxa"/>
            <w:gridSpan w:val="2"/>
          </w:tcPr>
          <w:p>
            <w:pPr>
              <w:keepNext w:val="0"/>
              <w:keepLines w:val="0"/>
              <w:suppressLineNumbers w:val="0"/>
              <w:adjustRightInd w:val="0"/>
              <w:snapToGrid w:val="0"/>
              <w:spacing w:before="0" w:beforeAutospacing="0" w:after="0" w:afterAutospacing="0"/>
              <w:ind w:left="0" w:right="0"/>
              <w:rPr>
                <w:rFonts w:ascii="仿宋" w:hAnsi="仿宋" w:eastAsia="仿宋" w:cs="仿宋"/>
                <w:color w:val="auto"/>
                <w:sz w:val="28"/>
                <w:szCs w:val="28"/>
              </w:rPr>
            </w:pPr>
          </w:p>
        </w:tc>
        <w:tc>
          <w:tcPr>
            <w:tcW w:w="1785" w:type="dxa"/>
          </w:tcPr>
          <w:p>
            <w:pPr>
              <w:keepNext w:val="0"/>
              <w:keepLines w:val="0"/>
              <w:suppressLineNumbers w:val="0"/>
              <w:adjustRightInd w:val="0"/>
              <w:snapToGrid w:val="0"/>
              <w:spacing w:before="0" w:beforeAutospacing="0" w:after="0" w:afterAutospacing="0"/>
              <w:ind w:left="0" w:right="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6" w:type="dxa"/>
            <w:vAlign w:val="center"/>
          </w:tcPr>
          <w:p>
            <w:pPr>
              <w:keepNext w:val="0"/>
              <w:keepLines w:val="0"/>
              <w:suppressLineNumbers w:val="0"/>
              <w:adjustRightInd w:val="0"/>
              <w:snapToGrid w:val="0"/>
              <w:spacing w:before="0" w:beforeAutospacing="0" w:after="0" w:afterAutospacing="0"/>
              <w:ind w:left="0" w:right="0"/>
              <w:jc w:val="center"/>
              <w:rPr>
                <w:rFonts w:ascii="仿宋" w:hAnsi="仿宋" w:eastAsia="仿宋" w:cs="仿宋"/>
                <w:color w:val="auto"/>
                <w:sz w:val="28"/>
                <w:szCs w:val="28"/>
              </w:rPr>
            </w:pPr>
            <w:r>
              <w:rPr>
                <w:rFonts w:hint="eastAsia" w:ascii="仿宋" w:hAnsi="仿宋" w:eastAsia="仿宋" w:cs="仿宋"/>
                <w:color w:val="auto"/>
                <w:sz w:val="28"/>
                <w:szCs w:val="28"/>
              </w:rPr>
              <w:t>2</w:t>
            </w:r>
          </w:p>
        </w:tc>
        <w:tc>
          <w:tcPr>
            <w:tcW w:w="1568" w:type="dxa"/>
          </w:tcPr>
          <w:p>
            <w:pPr>
              <w:keepNext w:val="0"/>
              <w:keepLines w:val="0"/>
              <w:suppressLineNumbers w:val="0"/>
              <w:adjustRightInd w:val="0"/>
              <w:snapToGrid w:val="0"/>
              <w:spacing w:before="0" w:beforeAutospacing="0" w:after="0" w:afterAutospacing="0"/>
              <w:ind w:left="0" w:right="0"/>
              <w:rPr>
                <w:rFonts w:ascii="仿宋" w:hAnsi="仿宋" w:eastAsia="仿宋" w:cs="仿宋"/>
                <w:color w:val="auto"/>
                <w:sz w:val="28"/>
                <w:szCs w:val="28"/>
              </w:rPr>
            </w:pPr>
          </w:p>
        </w:tc>
        <w:tc>
          <w:tcPr>
            <w:tcW w:w="4730" w:type="dxa"/>
            <w:gridSpan w:val="2"/>
          </w:tcPr>
          <w:p>
            <w:pPr>
              <w:keepNext w:val="0"/>
              <w:keepLines w:val="0"/>
              <w:suppressLineNumbers w:val="0"/>
              <w:adjustRightInd w:val="0"/>
              <w:snapToGrid w:val="0"/>
              <w:spacing w:before="0" w:beforeAutospacing="0" w:after="0" w:afterAutospacing="0"/>
              <w:ind w:left="0" w:right="0"/>
              <w:rPr>
                <w:rFonts w:ascii="仿宋" w:hAnsi="仿宋" w:eastAsia="仿宋" w:cs="仿宋"/>
                <w:color w:val="auto"/>
                <w:sz w:val="28"/>
                <w:szCs w:val="28"/>
              </w:rPr>
            </w:pPr>
          </w:p>
        </w:tc>
        <w:tc>
          <w:tcPr>
            <w:tcW w:w="1785" w:type="dxa"/>
          </w:tcPr>
          <w:p>
            <w:pPr>
              <w:keepNext w:val="0"/>
              <w:keepLines w:val="0"/>
              <w:suppressLineNumbers w:val="0"/>
              <w:adjustRightInd w:val="0"/>
              <w:snapToGrid w:val="0"/>
              <w:spacing w:before="0" w:beforeAutospacing="0" w:after="0" w:afterAutospacing="0"/>
              <w:ind w:left="0" w:right="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6" w:type="dxa"/>
            <w:vAlign w:val="center"/>
          </w:tcPr>
          <w:p>
            <w:pPr>
              <w:keepNext w:val="0"/>
              <w:keepLines w:val="0"/>
              <w:suppressLineNumbers w:val="0"/>
              <w:adjustRightInd w:val="0"/>
              <w:snapToGrid w:val="0"/>
              <w:spacing w:before="0" w:beforeAutospacing="0" w:after="0" w:afterAutospacing="0"/>
              <w:ind w:left="0" w:right="0"/>
              <w:jc w:val="center"/>
              <w:rPr>
                <w:rFonts w:ascii="仿宋" w:hAnsi="仿宋" w:eastAsia="仿宋" w:cs="仿宋"/>
                <w:color w:val="auto"/>
                <w:sz w:val="28"/>
                <w:szCs w:val="28"/>
              </w:rPr>
            </w:pPr>
            <w:r>
              <w:rPr>
                <w:rFonts w:hint="eastAsia" w:ascii="仿宋" w:hAnsi="仿宋" w:eastAsia="仿宋" w:cs="仿宋"/>
                <w:color w:val="auto"/>
                <w:sz w:val="28"/>
                <w:szCs w:val="28"/>
              </w:rPr>
              <w:t>3</w:t>
            </w:r>
          </w:p>
        </w:tc>
        <w:tc>
          <w:tcPr>
            <w:tcW w:w="1568" w:type="dxa"/>
          </w:tcPr>
          <w:p>
            <w:pPr>
              <w:keepNext w:val="0"/>
              <w:keepLines w:val="0"/>
              <w:suppressLineNumbers w:val="0"/>
              <w:adjustRightInd w:val="0"/>
              <w:snapToGrid w:val="0"/>
              <w:spacing w:before="0" w:beforeAutospacing="0" w:after="0" w:afterAutospacing="0"/>
              <w:ind w:left="0" w:right="0"/>
              <w:rPr>
                <w:rFonts w:ascii="仿宋" w:hAnsi="仿宋" w:eastAsia="仿宋" w:cs="仿宋"/>
                <w:color w:val="auto"/>
                <w:sz w:val="28"/>
                <w:szCs w:val="28"/>
              </w:rPr>
            </w:pPr>
          </w:p>
        </w:tc>
        <w:tc>
          <w:tcPr>
            <w:tcW w:w="4730" w:type="dxa"/>
            <w:gridSpan w:val="2"/>
          </w:tcPr>
          <w:p>
            <w:pPr>
              <w:keepNext w:val="0"/>
              <w:keepLines w:val="0"/>
              <w:suppressLineNumbers w:val="0"/>
              <w:adjustRightInd w:val="0"/>
              <w:snapToGrid w:val="0"/>
              <w:spacing w:before="0" w:beforeAutospacing="0" w:after="0" w:afterAutospacing="0"/>
              <w:ind w:left="0" w:right="0"/>
              <w:rPr>
                <w:rFonts w:ascii="仿宋" w:hAnsi="仿宋" w:eastAsia="仿宋" w:cs="仿宋"/>
                <w:color w:val="auto"/>
                <w:sz w:val="28"/>
                <w:szCs w:val="28"/>
              </w:rPr>
            </w:pPr>
          </w:p>
        </w:tc>
        <w:tc>
          <w:tcPr>
            <w:tcW w:w="1785" w:type="dxa"/>
          </w:tcPr>
          <w:p>
            <w:pPr>
              <w:keepNext w:val="0"/>
              <w:keepLines w:val="0"/>
              <w:suppressLineNumbers w:val="0"/>
              <w:adjustRightInd w:val="0"/>
              <w:snapToGrid w:val="0"/>
              <w:spacing w:before="0" w:beforeAutospacing="0" w:after="0" w:afterAutospacing="0"/>
              <w:ind w:left="0" w:right="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6" w:type="dxa"/>
            <w:vAlign w:val="center"/>
          </w:tcPr>
          <w:p>
            <w:pPr>
              <w:keepNext w:val="0"/>
              <w:keepLines w:val="0"/>
              <w:suppressLineNumbers w:val="0"/>
              <w:adjustRightInd w:val="0"/>
              <w:snapToGrid w:val="0"/>
              <w:spacing w:before="0" w:beforeAutospacing="0" w:after="0" w:afterAutospacing="0"/>
              <w:ind w:left="0" w:right="0"/>
              <w:jc w:val="center"/>
              <w:rPr>
                <w:rFonts w:ascii="仿宋" w:hAnsi="仿宋" w:eastAsia="仿宋" w:cs="仿宋"/>
                <w:color w:val="auto"/>
                <w:sz w:val="28"/>
                <w:szCs w:val="28"/>
              </w:rPr>
            </w:pPr>
            <w:r>
              <w:rPr>
                <w:rFonts w:hint="eastAsia" w:ascii="仿宋" w:hAnsi="仿宋" w:eastAsia="仿宋" w:cs="仿宋"/>
                <w:color w:val="auto"/>
                <w:sz w:val="28"/>
                <w:szCs w:val="28"/>
              </w:rPr>
              <w:t>4</w:t>
            </w:r>
          </w:p>
        </w:tc>
        <w:tc>
          <w:tcPr>
            <w:tcW w:w="1568" w:type="dxa"/>
          </w:tcPr>
          <w:p>
            <w:pPr>
              <w:keepNext w:val="0"/>
              <w:keepLines w:val="0"/>
              <w:suppressLineNumbers w:val="0"/>
              <w:adjustRightInd w:val="0"/>
              <w:snapToGrid w:val="0"/>
              <w:spacing w:before="0" w:beforeAutospacing="0" w:after="0" w:afterAutospacing="0"/>
              <w:ind w:left="0" w:right="0"/>
              <w:rPr>
                <w:rFonts w:ascii="仿宋" w:hAnsi="仿宋" w:eastAsia="仿宋" w:cs="仿宋"/>
                <w:color w:val="auto"/>
                <w:sz w:val="28"/>
                <w:szCs w:val="28"/>
              </w:rPr>
            </w:pPr>
          </w:p>
        </w:tc>
        <w:tc>
          <w:tcPr>
            <w:tcW w:w="4730" w:type="dxa"/>
            <w:gridSpan w:val="2"/>
          </w:tcPr>
          <w:p>
            <w:pPr>
              <w:keepNext w:val="0"/>
              <w:keepLines w:val="0"/>
              <w:suppressLineNumbers w:val="0"/>
              <w:adjustRightInd w:val="0"/>
              <w:snapToGrid w:val="0"/>
              <w:spacing w:before="0" w:beforeAutospacing="0" w:after="0" w:afterAutospacing="0"/>
              <w:ind w:left="0" w:right="0"/>
              <w:rPr>
                <w:rFonts w:ascii="仿宋" w:hAnsi="仿宋" w:eastAsia="仿宋" w:cs="仿宋"/>
                <w:color w:val="auto"/>
                <w:sz w:val="28"/>
                <w:szCs w:val="28"/>
              </w:rPr>
            </w:pPr>
          </w:p>
        </w:tc>
        <w:tc>
          <w:tcPr>
            <w:tcW w:w="1785" w:type="dxa"/>
          </w:tcPr>
          <w:p>
            <w:pPr>
              <w:keepNext w:val="0"/>
              <w:keepLines w:val="0"/>
              <w:suppressLineNumbers w:val="0"/>
              <w:adjustRightInd w:val="0"/>
              <w:snapToGrid w:val="0"/>
              <w:spacing w:before="0" w:beforeAutospacing="0" w:after="0" w:afterAutospacing="0"/>
              <w:ind w:left="0" w:right="0"/>
              <w:rPr>
                <w:rFonts w:ascii="仿宋" w:hAnsi="仿宋" w:eastAsia="仿宋" w:cs="仿宋"/>
                <w:color w:val="auto"/>
                <w:sz w:val="28"/>
                <w:szCs w:val="28"/>
              </w:rPr>
            </w:pPr>
          </w:p>
        </w:tc>
      </w:tr>
    </w:tbl>
    <w:p>
      <w:pPr>
        <w:snapToGrid w:val="0"/>
        <w:spacing w:line="360" w:lineRule="auto"/>
        <w:rPr>
          <w:rFonts w:ascii="仿宋" w:hAnsi="仿宋" w:eastAsia="仿宋" w:cs="仿宋"/>
          <w:color w:val="auto"/>
          <w:sz w:val="24"/>
          <w:szCs w:val="24"/>
        </w:rPr>
      </w:pPr>
    </w:p>
    <w:p>
      <w:pPr>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 xml:space="preserve">投标供应商签章： </w:t>
      </w:r>
    </w:p>
    <w:p>
      <w:pPr>
        <w:spacing w:line="360" w:lineRule="auto"/>
        <w:jc w:val="right"/>
        <w:rPr>
          <w:rFonts w:ascii="仿宋" w:hAnsi="仿宋" w:eastAsia="仿宋" w:cs="仿宋"/>
          <w:bCs/>
          <w:color w:val="auto"/>
          <w:sz w:val="24"/>
          <w:szCs w:val="24"/>
        </w:rPr>
      </w:pPr>
      <w:r>
        <w:rPr>
          <w:rFonts w:hint="eastAsia" w:ascii="仿宋" w:hAnsi="仿宋" w:eastAsia="仿宋" w:cs="仿宋"/>
          <w:bCs/>
          <w:color w:val="auto"/>
          <w:sz w:val="24"/>
          <w:szCs w:val="24"/>
        </w:rPr>
        <w:t>年  月  日</w:t>
      </w:r>
    </w:p>
    <w:p>
      <w:pPr>
        <w:spacing w:beforeLines="50" w:afterLines="50" w:line="360" w:lineRule="auto"/>
        <w:rPr>
          <w:rFonts w:ascii="仿宋" w:hAnsi="仿宋" w:eastAsia="仿宋" w:cs="仿宋"/>
          <w:b/>
          <w:bCs/>
          <w:color w:val="auto"/>
          <w:sz w:val="24"/>
          <w:szCs w:val="24"/>
        </w:rPr>
      </w:pPr>
      <w:r>
        <w:rPr>
          <w:rFonts w:hint="eastAsia" w:ascii="仿宋" w:hAnsi="仿宋" w:eastAsia="仿宋" w:cs="仿宋"/>
          <w:b/>
          <w:color w:val="auto"/>
          <w:sz w:val="24"/>
          <w:szCs w:val="24"/>
        </w:rPr>
        <w:t>注：</w:t>
      </w:r>
      <w:r>
        <w:rPr>
          <w:rFonts w:hint="eastAsia" w:ascii="仿宋" w:hAnsi="仿宋" w:eastAsia="仿宋" w:cs="仿宋"/>
          <w:b/>
          <w:bCs/>
          <w:color w:val="auto"/>
          <w:sz w:val="24"/>
          <w:szCs w:val="24"/>
        </w:rPr>
        <w:t>1、供应商必须逐项对应描述服务要求，如不进行描述，仅在响应栏填“响应”或未填写或复制（包括全部复制或部分复制）招标文件采购需求的，包括有选择性的技术响应（例如在某一分项中出现两个及以上的或两种及两种以上的技术规格），均可能导致响应无效；</w:t>
      </w:r>
    </w:p>
    <w:p>
      <w:pPr>
        <w:adjustRightInd w:val="0"/>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2、偏离说明项需注明：完全响应或正偏离。</w:t>
      </w:r>
    </w:p>
    <w:p>
      <w:pPr>
        <w:adjustRightInd w:val="0"/>
        <w:snapToGrid w:val="0"/>
        <w:spacing w:line="360" w:lineRule="auto"/>
        <w:rPr>
          <w:rFonts w:ascii="仿宋" w:hAnsi="仿宋" w:eastAsia="仿宋" w:cs="仿宋"/>
          <w:b/>
          <w:color w:val="auto"/>
          <w:sz w:val="24"/>
          <w:szCs w:val="24"/>
        </w:rPr>
      </w:pPr>
      <w:r>
        <w:rPr>
          <w:rFonts w:hint="eastAsia" w:ascii="仿宋" w:hAnsi="仿宋" w:eastAsia="仿宋" w:cs="仿宋"/>
          <w:b/>
          <w:bCs/>
          <w:color w:val="auto"/>
          <w:sz w:val="24"/>
          <w:szCs w:val="24"/>
        </w:rPr>
        <w:t>3、响应部分可后附详细说明及技术资料。</w:t>
      </w:r>
    </w:p>
    <w:p>
      <w:pPr>
        <w:spacing w:line="360" w:lineRule="auto"/>
        <w:jc w:val="center"/>
        <w:outlineLvl w:val="2"/>
        <w:rPr>
          <w:rFonts w:ascii="仿宋" w:hAnsi="仿宋" w:eastAsia="仿宋" w:cs="仿宋"/>
          <w:bCs/>
          <w:color w:val="auto"/>
          <w:sz w:val="36"/>
          <w:szCs w:val="36"/>
        </w:rPr>
      </w:pPr>
      <w:r>
        <w:rPr>
          <w:rFonts w:hint="eastAsia" w:ascii="仿宋" w:hAnsi="仿宋" w:eastAsia="仿宋" w:cs="仿宋"/>
          <w:bCs/>
          <w:color w:val="auto"/>
          <w:sz w:val="36"/>
          <w:szCs w:val="36"/>
        </w:rPr>
        <w:br w:type="page"/>
      </w:r>
      <w:r>
        <w:rPr>
          <w:rFonts w:hint="eastAsia" w:ascii="仿宋" w:hAnsi="仿宋" w:eastAsia="仿宋" w:cs="仿宋"/>
          <w:b/>
          <w:bCs/>
          <w:color w:val="auto"/>
          <w:sz w:val="36"/>
          <w:szCs w:val="36"/>
        </w:rPr>
        <w:t>投标企业符合《中华人民共和国政府采购法》</w:t>
      </w:r>
      <w:r>
        <w:rPr>
          <w:rFonts w:hint="eastAsia" w:ascii="仿宋" w:hAnsi="仿宋" w:eastAsia="仿宋" w:cs="仿宋"/>
          <w:b/>
          <w:bCs/>
          <w:color w:val="auto"/>
          <w:sz w:val="36"/>
          <w:szCs w:val="36"/>
          <w:lang w:val="zh-CN"/>
        </w:rPr>
        <w:t>第二十二条</w:t>
      </w:r>
      <w:r>
        <w:rPr>
          <w:rFonts w:hint="eastAsia" w:ascii="仿宋" w:hAnsi="仿宋" w:eastAsia="仿宋" w:cs="仿宋"/>
          <w:b/>
          <w:bCs/>
          <w:color w:val="auto"/>
          <w:sz w:val="36"/>
          <w:szCs w:val="36"/>
        </w:rPr>
        <w:t>规定声明函</w:t>
      </w:r>
    </w:p>
    <w:p>
      <w:pPr>
        <w:jc w:val="center"/>
        <w:rPr>
          <w:rFonts w:ascii="仿宋" w:hAnsi="仿宋" w:eastAsia="仿宋" w:cs="仿宋"/>
          <w:b/>
          <w:color w:val="auto"/>
          <w:sz w:val="24"/>
        </w:rPr>
      </w:pPr>
    </w:p>
    <w:p>
      <w:pPr>
        <w:autoSpaceDE w:val="0"/>
        <w:autoSpaceDN w:val="0"/>
        <w:spacing w:line="480" w:lineRule="auto"/>
        <w:ind w:left="79" w:leftChars="38" w:right="40"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根据《财政部关于促进政府采购公平竞争优化营商环境的通知》（财库〔201</w:t>
      </w:r>
      <w:r>
        <w:rPr>
          <w:rFonts w:hint="eastAsia" w:ascii="仿宋" w:hAnsi="仿宋" w:eastAsia="仿宋" w:cs="仿宋"/>
          <w:color w:val="auto"/>
          <w:sz w:val="32"/>
          <w:szCs w:val="32"/>
        </w:rPr>
        <w:t>9</w:t>
      </w:r>
      <w:r>
        <w:rPr>
          <w:rFonts w:hint="eastAsia" w:ascii="仿宋" w:hAnsi="仿宋" w:eastAsia="仿宋" w:cs="仿宋"/>
          <w:color w:val="auto"/>
          <w:sz w:val="32"/>
          <w:szCs w:val="32"/>
          <w:lang w:val="zh-CN"/>
        </w:rPr>
        <w:t>〕</w:t>
      </w:r>
      <w:r>
        <w:rPr>
          <w:rFonts w:hint="eastAsia" w:ascii="仿宋" w:hAnsi="仿宋" w:eastAsia="仿宋" w:cs="仿宋"/>
          <w:color w:val="auto"/>
          <w:sz w:val="32"/>
          <w:szCs w:val="32"/>
        </w:rPr>
        <w:t>38</w:t>
      </w:r>
      <w:r>
        <w:rPr>
          <w:rFonts w:hint="eastAsia" w:ascii="仿宋" w:hAnsi="仿宋" w:eastAsia="仿宋" w:cs="仿宋"/>
          <w:color w:val="auto"/>
          <w:sz w:val="32"/>
          <w:szCs w:val="32"/>
          <w:lang w:val="zh-CN"/>
        </w:rPr>
        <w:t>号）的规定，本公司郑重声明</w:t>
      </w:r>
      <w:r>
        <w:rPr>
          <w:rFonts w:hint="eastAsia" w:ascii="仿宋" w:hAnsi="仿宋" w:eastAsia="仿宋" w:cs="仿宋"/>
          <w:color w:val="auto"/>
          <w:sz w:val="32"/>
          <w:szCs w:val="32"/>
        </w:rPr>
        <w:t>,</w:t>
      </w:r>
      <w:r>
        <w:rPr>
          <w:rFonts w:hint="eastAsia" w:ascii="仿宋" w:hAnsi="仿宋" w:eastAsia="仿宋" w:cs="仿宋"/>
          <w:color w:val="auto"/>
          <w:sz w:val="32"/>
          <w:szCs w:val="32"/>
          <w:lang w:val="zh-CN"/>
        </w:rPr>
        <w:t>本公司同时满足以下条件：</w:t>
      </w:r>
    </w:p>
    <w:p>
      <w:pPr>
        <w:autoSpaceDE w:val="0"/>
        <w:autoSpaceDN w:val="0"/>
        <w:spacing w:line="480" w:lineRule="auto"/>
        <w:ind w:left="79" w:leftChars="38" w:right="40"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1.符合《中华人民共和国政府采购法》第二十二条规定。</w:t>
      </w:r>
    </w:p>
    <w:p>
      <w:pPr>
        <w:autoSpaceDE w:val="0"/>
        <w:autoSpaceDN w:val="0"/>
        <w:spacing w:line="480" w:lineRule="auto"/>
        <w:ind w:left="79" w:leftChars="38" w:right="40"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2.本公司参加</w:t>
      </w:r>
      <w:r>
        <w:rPr>
          <w:rFonts w:hint="eastAsia" w:ascii="仿宋" w:hAnsi="仿宋" w:eastAsia="仿宋" w:cs="仿宋"/>
          <w:color w:val="auto"/>
          <w:sz w:val="32"/>
          <w:szCs w:val="32"/>
        </w:rPr>
        <w:t>本项目</w:t>
      </w:r>
      <w:r>
        <w:rPr>
          <w:rFonts w:hint="eastAsia" w:ascii="仿宋" w:hAnsi="仿宋" w:eastAsia="仿宋" w:cs="仿宋"/>
          <w:bCs/>
          <w:color w:val="auto"/>
          <w:sz w:val="32"/>
          <w:szCs w:val="32"/>
        </w:rPr>
        <w:t>采购活动</w:t>
      </w:r>
      <w:r>
        <w:rPr>
          <w:rFonts w:hint="eastAsia" w:ascii="仿宋" w:hAnsi="仿宋" w:eastAsia="仿宋" w:cs="仿宋"/>
          <w:color w:val="auto"/>
          <w:sz w:val="32"/>
          <w:szCs w:val="32"/>
          <w:lang w:val="zh-CN"/>
        </w:rPr>
        <w:t>由本企业提供服务。</w:t>
      </w:r>
    </w:p>
    <w:p>
      <w:pPr>
        <w:tabs>
          <w:tab w:val="left" w:pos="4620"/>
        </w:tabs>
        <w:spacing w:line="360" w:lineRule="auto"/>
        <w:ind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本公司对上述声明的真实性负责。如有虚假，将依法承担相应责任。</w:t>
      </w:r>
    </w:p>
    <w:p>
      <w:pPr>
        <w:tabs>
          <w:tab w:val="left" w:pos="4620"/>
        </w:tabs>
        <w:spacing w:line="360" w:lineRule="auto"/>
        <w:rPr>
          <w:rFonts w:ascii="仿宋" w:hAnsi="仿宋" w:eastAsia="仿宋" w:cs="仿宋"/>
          <w:color w:val="auto"/>
          <w:sz w:val="32"/>
          <w:szCs w:val="32"/>
          <w:lang w:val="zh-CN"/>
        </w:rPr>
      </w:pPr>
    </w:p>
    <w:p>
      <w:pPr>
        <w:tabs>
          <w:tab w:val="left" w:pos="4620"/>
        </w:tabs>
        <w:spacing w:line="360" w:lineRule="auto"/>
        <w:rPr>
          <w:rFonts w:ascii="仿宋" w:hAnsi="仿宋" w:eastAsia="仿宋" w:cs="仿宋"/>
          <w:color w:val="auto"/>
          <w:sz w:val="32"/>
          <w:szCs w:val="32"/>
        </w:rPr>
      </w:pPr>
    </w:p>
    <w:p>
      <w:pPr>
        <w:spacing w:line="360" w:lineRule="auto"/>
        <w:ind w:firstLine="3200" w:firstLineChars="1000"/>
        <w:jc w:val="left"/>
        <w:rPr>
          <w:rFonts w:ascii="仿宋" w:hAnsi="仿宋" w:eastAsia="仿宋" w:cs="仿宋"/>
          <w:color w:val="auto"/>
          <w:sz w:val="32"/>
          <w:szCs w:val="32"/>
          <w:u w:val="single"/>
        </w:rPr>
      </w:pPr>
      <w:r>
        <w:rPr>
          <w:rFonts w:hint="eastAsia" w:ascii="仿宋" w:hAnsi="仿宋" w:eastAsia="仿宋" w:cs="仿宋"/>
          <w:color w:val="auto"/>
          <w:sz w:val="32"/>
          <w:szCs w:val="32"/>
        </w:rPr>
        <w:t>投标供应商签章：</w:t>
      </w:r>
      <w:r>
        <w:rPr>
          <w:rFonts w:hint="eastAsia" w:ascii="仿宋" w:hAnsi="仿宋" w:eastAsia="仿宋" w:cs="仿宋"/>
          <w:color w:val="auto"/>
          <w:sz w:val="32"/>
          <w:szCs w:val="32"/>
          <w:u w:val="single"/>
        </w:rPr>
        <w:t xml:space="preserve">                </w:t>
      </w:r>
    </w:p>
    <w:p>
      <w:pPr>
        <w:tabs>
          <w:tab w:val="left" w:pos="4620"/>
        </w:tabs>
        <w:spacing w:line="360" w:lineRule="auto"/>
        <w:ind w:firstLine="3200" w:firstLineChars="1000"/>
        <w:jc w:val="left"/>
        <w:rPr>
          <w:rFonts w:ascii="仿宋" w:hAnsi="仿宋" w:eastAsia="仿宋" w:cs="仿宋"/>
          <w:color w:val="auto"/>
          <w:sz w:val="32"/>
          <w:szCs w:val="32"/>
          <w:u w:val="single"/>
        </w:rPr>
      </w:pPr>
      <w:r>
        <w:rPr>
          <w:rFonts w:hint="eastAsia" w:ascii="仿宋" w:hAnsi="仿宋" w:eastAsia="仿宋" w:cs="仿宋"/>
          <w:color w:val="auto"/>
          <w:sz w:val="32"/>
          <w:szCs w:val="32"/>
        </w:rPr>
        <w:t>日          期：</w:t>
      </w:r>
      <w:r>
        <w:rPr>
          <w:rFonts w:hint="eastAsia" w:ascii="仿宋" w:hAnsi="仿宋" w:eastAsia="仿宋" w:cs="仿宋"/>
          <w:color w:val="auto"/>
          <w:sz w:val="32"/>
          <w:szCs w:val="32"/>
          <w:u w:val="single"/>
        </w:rPr>
        <w:t xml:space="preserve">                </w:t>
      </w:r>
    </w:p>
    <w:p>
      <w:pPr>
        <w:rPr>
          <w:rFonts w:ascii="仿宋" w:hAnsi="仿宋" w:eastAsia="仿宋" w:cs="仿宋"/>
          <w:color w:val="auto"/>
          <w:sz w:val="28"/>
        </w:rPr>
      </w:pPr>
      <w:bookmarkStart w:id="22" w:name="_Toc38014437"/>
      <w:bookmarkStart w:id="23" w:name="_Toc38014477"/>
      <w:bookmarkStart w:id="24" w:name="_Toc31720"/>
    </w:p>
    <w:p>
      <w:pPr>
        <w:pStyle w:val="5"/>
        <w:keepNext w:val="0"/>
        <w:keepLines w:val="0"/>
        <w:jc w:val="center"/>
        <w:rPr>
          <w:rFonts w:ascii="仿宋" w:hAnsi="仿宋" w:eastAsia="仿宋" w:cs="仿宋"/>
          <w:b w:val="0"/>
          <w:bCs w:val="0"/>
          <w:color w:val="auto"/>
          <w:sz w:val="36"/>
          <w:szCs w:val="36"/>
        </w:rPr>
      </w:pPr>
    </w:p>
    <w:p>
      <w:pPr>
        <w:pStyle w:val="5"/>
        <w:keepNext w:val="0"/>
        <w:keepLines w:val="0"/>
        <w:jc w:val="center"/>
        <w:rPr>
          <w:rFonts w:ascii="仿宋" w:hAnsi="仿宋" w:eastAsia="仿宋" w:cs="仿宋"/>
          <w:color w:val="auto"/>
          <w:sz w:val="36"/>
          <w:szCs w:val="36"/>
        </w:rPr>
      </w:pPr>
      <w:r>
        <w:rPr>
          <w:rFonts w:hint="eastAsia" w:ascii="仿宋" w:hAnsi="仿宋" w:eastAsia="仿宋" w:cs="仿宋"/>
          <w:color w:val="auto"/>
          <w:sz w:val="36"/>
          <w:szCs w:val="36"/>
        </w:rPr>
        <w:br w:type="page"/>
      </w:r>
      <w:r>
        <w:rPr>
          <w:rFonts w:hint="eastAsia" w:ascii="仿宋" w:hAnsi="仿宋" w:eastAsia="仿宋" w:cs="仿宋"/>
          <w:color w:val="auto"/>
          <w:sz w:val="36"/>
          <w:szCs w:val="36"/>
        </w:rPr>
        <w:t>无不良信用记录声明函</w:t>
      </w:r>
      <w:bookmarkEnd w:id="22"/>
      <w:bookmarkEnd w:id="23"/>
      <w:bookmarkEnd w:id="24"/>
    </w:p>
    <w:p>
      <w:pPr>
        <w:spacing w:line="360" w:lineRule="auto"/>
        <w:ind w:firstLine="435"/>
        <w:rPr>
          <w:rFonts w:ascii="仿宋" w:hAnsi="仿宋" w:eastAsia="仿宋" w:cs="仿宋"/>
          <w:color w:val="auto"/>
          <w:sz w:val="32"/>
          <w:szCs w:val="32"/>
        </w:rPr>
      </w:pPr>
      <w:r>
        <w:rPr>
          <w:rFonts w:hint="eastAsia" w:ascii="仿宋" w:hAnsi="仿宋" w:eastAsia="仿宋" w:cs="仿宋"/>
          <w:color w:val="auto"/>
          <w:sz w:val="32"/>
          <w:szCs w:val="32"/>
        </w:rPr>
        <w:t>本公司郑重声明，我公司无以下不良信用记录情形：</w:t>
      </w:r>
    </w:p>
    <w:p>
      <w:pPr>
        <w:spacing w:line="360" w:lineRule="auto"/>
        <w:ind w:firstLine="435"/>
        <w:rPr>
          <w:rFonts w:ascii="仿宋" w:hAnsi="仿宋" w:eastAsia="仿宋" w:cs="仿宋"/>
          <w:color w:val="auto"/>
          <w:sz w:val="32"/>
          <w:szCs w:val="32"/>
        </w:rPr>
      </w:pPr>
      <w:r>
        <w:rPr>
          <w:rFonts w:hint="eastAsia" w:ascii="仿宋" w:hAnsi="仿宋" w:eastAsia="仿宋" w:cs="仿宋"/>
          <w:color w:val="auto"/>
          <w:sz w:val="32"/>
          <w:szCs w:val="32"/>
        </w:rPr>
        <w:t>1、公司被人民法院列入失信被执行人；</w:t>
      </w:r>
    </w:p>
    <w:p>
      <w:pPr>
        <w:spacing w:line="360" w:lineRule="auto"/>
        <w:ind w:firstLine="435"/>
        <w:rPr>
          <w:rFonts w:ascii="仿宋" w:hAnsi="仿宋" w:eastAsia="仿宋" w:cs="仿宋"/>
          <w:color w:val="auto"/>
          <w:sz w:val="32"/>
          <w:szCs w:val="32"/>
        </w:rPr>
      </w:pPr>
      <w:r>
        <w:rPr>
          <w:rFonts w:hint="eastAsia" w:ascii="仿宋" w:hAnsi="仿宋" w:eastAsia="仿宋" w:cs="仿宋"/>
          <w:color w:val="auto"/>
          <w:sz w:val="32"/>
          <w:szCs w:val="32"/>
        </w:rPr>
        <w:t>2、公司、法定代表人或拟派项目经理（项目负责人）被人民检察院列入行贿犯罪档案；</w:t>
      </w:r>
    </w:p>
    <w:p>
      <w:pPr>
        <w:spacing w:line="360" w:lineRule="auto"/>
        <w:ind w:firstLine="435"/>
        <w:rPr>
          <w:rFonts w:ascii="仿宋" w:hAnsi="仿宋" w:eastAsia="仿宋" w:cs="仿宋"/>
          <w:color w:val="auto"/>
          <w:sz w:val="32"/>
          <w:szCs w:val="32"/>
        </w:rPr>
      </w:pPr>
      <w:r>
        <w:rPr>
          <w:rFonts w:hint="eastAsia" w:ascii="仿宋" w:hAnsi="仿宋" w:eastAsia="仿宋" w:cs="仿宋"/>
          <w:color w:val="auto"/>
          <w:sz w:val="32"/>
          <w:szCs w:val="32"/>
        </w:rPr>
        <w:t>3、公司被工商行政管理部门列入企业经营异常名录；</w:t>
      </w:r>
    </w:p>
    <w:p>
      <w:pPr>
        <w:spacing w:line="360" w:lineRule="auto"/>
        <w:ind w:firstLine="435"/>
        <w:rPr>
          <w:rFonts w:ascii="仿宋" w:hAnsi="仿宋" w:eastAsia="仿宋" w:cs="仿宋"/>
          <w:color w:val="auto"/>
          <w:sz w:val="32"/>
          <w:szCs w:val="32"/>
        </w:rPr>
      </w:pPr>
      <w:r>
        <w:rPr>
          <w:rFonts w:hint="eastAsia" w:ascii="仿宋" w:hAnsi="仿宋" w:eastAsia="仿宋" w:cs="仿宋"/>
          <w:color w:val="auto"/>
          <w:sz w:val="32"/>
          <w:szCs w:val="32"/>
        </w:rPr>
        <w:t>4、公司被税务部门列入重大税收违法案件当事人名单；</w:t>
      </w:r>
    </w:p>
    <w:p>
      <w:pPr>
        <w:spacing w:line="360" w:lineRule="auto"/>
        <w:ind w:firstLine="435"/>
        <w:rPr>
          <w:rFonts w:ascii="仿宋" w:hAnsi="仿宋" w:eastAsia="仿宋" w:cs="仿宋"/>
          <w:color w:val="auto"/>
          <w:sz w:val="32"/>
          <w:szCs w:val="32"/>
        </w:rPr>
      </w:pPr>
      <w:r>
        <w:rPr>
          <w:rFonts w:hint="eastAsia" w:ascii="仿宋" w:hAnsi="仿宋" w:eastAsia="仿宋" w:cs="仿宋"/>
          <w:color w:val="auto"/>
          <w:sz w:val="32"/>
          <w:szCs w:val="32"/>
        </w:rPr>
        <w:t>5、公司被政府采购监管部门列入政府采购严重违法失信行为记录名单。</w:t>
      </w:r>
    </w:p>
    <w:p>
      <w:pPr>
        <w:spacing w:line="360" w:lineRule="auto"/>
        <w:ind w:firstLine="640" w:firstLineChars="200"/>
        <w:rPr>
          <w:rFonts w:ascii="仿宋" w:hAnsi="仿宋" w:eastAsia="仿宋" w:cs="仿宋"/>
          <w:color w:val="auto"/>
          <w:kern w:val="0"/>
          <w:sz w:val="32"/>
          <w:szCs w:val="32"/>
        </w:rPr>
      </w:pPr>
      <w:r>
        <w:rPr>
          <w:rFonts w:hint="eastAsia" w:ascii="仿宋" w:hAnsi="仿宋" w:eastAsia="仿宋" w:cs="仿宋"/>
          <w:b/>
          <w:color w:val="auto"/>
          <w:sz w:val="32"/>
          <w:szCs w:val="32"/>
        </w:rPr>
        <w:t>我公司已就上述不良信用行为按照招标文件中投标供应商须知前附表规定进行了查询。</w:t>
      </w:r>
      <w:r>
        <w:rPr>
          <w:rFonts w:hint="eastAsia" w:ascii="仿宋" w:hAnsi="仿宋" w:eastAsia="仿宋" w:cs="仿宋"/>
          <w:color w:val="auto"/>
          <w:sz w:val="32"/>
          <w:szCs w:val="32"/>
        </w:rPr>
        <w:t xml:space="preserve">我公司承诺：合同签订前，若我公司具有不良信用记录情形，贵方可取消我公司中标资格或者不授予合同，所有责任由我公司自行承担。同时，我公司愿意无条件接受监管部门的调查处理。 </w:t>
      </w:r>
    </w:p>
    <w:p>
      <w:pPr>
        <w:tabs>
          <w:tab w:val="left" w:pos="630"/>
        </w:tabs>
        <w:spacing w:line="360" w:lineRule="auto"/>
        <w:rPr>
          <w:rFonts w:ascii="仿宋" w:hAnsi="仿宋" w:eastAsia="仿宋" w:cs="仿宋"/>
          <w:color w:val="auto"/>
          <w:sz w:val="32"/>
          <w:szCs w:val="32"/>
        </w:rPr>
      </w:pPr>
    </w:p>
    <w:p>
      <w:pPr>
        <w:tabs>
          <w:tab w:val="left" w:pos="630"/>
        </w:tabs>
        <w:spacing w:line="360" w:lineRule="auto"/>
        <w:rPr>
          <w:rFonts w:ascii="仿宋" w:hAnsi="仿宋" w:eastAsia="仿宋" w:cs="仿宋"/>
          <w:color w:val="auto"/>
          <w:sz w:val="32"/>
          <w:szCs w:val="32"/>
        </w:rPr>
      </w:pPr>
    </w:p>
    <w:p>
      <w:pPr>
        <w:spacing w:line="360" w:lineRule="auto"/>
        <w:ind w:firstLine="3200" w:firstLineChars="1000"/>
        <w:rPr>
          <w:rFonts w:ascii="仿宋" w:hAnsi="仿宋" w:eastAsia="仿宋" w:cs="仿宋"/>
          <w:color w:val="auto"/>
          <w:sz w:val="32"/>
          <w:szCs w:val="32"/>
          <w:u w:val="single"/>
        </w:rPr>
      </w:pPr>
      <w:r>
        <w:rPr>
          <w:rFonts w:hint="eastAsia" w:ascii="仿宋" w:hAnsi="仿宋" w:eastAsia="仿宋" w:cs="仿宋"/>
          <w:color w:val="auto"/>
          <w:sz w:val="32"/>
          <w:szCs w:val="32"/>
        </w:rPr>
        <w:t>投标供应商签章：</w:t>
      </w:r>
      <w:r>
        <w:rPr>
          <w:rFonts w:hint="eastAsia" w:ascii="仿宋" w:hAnsi="仿宋" w:eastAsia="仿宋" w:cs="仿宋"/>
          <w:color w:val="auto"/>
          <w:sz w:val="32"/>
          <w:szCs w:val="32"/>
          <w:u w:val="single"/>
        </w:rPr>
        <w:t xml:space="preserve">               </w:t>
      </w:r>
    </w:p>
    <w:p>
      <w:pPr>
        <w:tabs>
          <w:tab w:val="left" w:pos="630"/>
        </w:tabs>
        <w:spacing w:line="360" w:lineRule="auto"/>
        <w:ind w:firstLine="3200" w:firstLineChars="1000"/>
        <w:rPr>
          <w:rFonts w:ascii="仿宋" w:hAnsi="仿宋" w:eastAsia="仿宋" w:cs="仿宋"/>
          <w:color w:val="auto"/>
          <w:sz w:val="32"/>
          <w:szCs w:val="32"/>
        </w:rPr>
      </w:pPr>
      <w:r>
        <w:rPr>
          <w:rFonts w:hint="eastAsia" w:ascii="仿宋" w:hAnsi="仿宋" w:eastAsia="仿宋" w:cs="仿宋"/>
          <w:color w:val="auto"/>
          <w:sz w:val="32"/>
          <w:szCs w:val="32"/>
        </w:rPr>
        <w:t>日          期：</w:t>
      </w:r>
      <w:r>
        <w:rPr>
          <w:rFonts w:hint="eastAsia" w:ascii="仿宋" w:hAnsi="仿宋" w:eastAsia="仿宋" w:cs="仿宋"/>
          <w:color w:val="auto"/>
          <w:sz w:val="32"/>
          <w:szCs w:val="32"/>
          <w:u w:val="single"/>
        </w:rPr>
        <w:t xml:space="preserve">               </w:t>
      </w:r>
    </w:p>
    <w:p>
      <w:pPr>
        <w:pStyle w:val="5"/>
        <w:keepNext w:val="0"/>
        <w:keepLines w:val="0"/>
        <w:jc w:val="center"/>
        <w:rPr>
          <w:rFonts w:ascii="仿宋" w:hAnsi="仿宋" w:eastAsia="仿宋" w:cs="仿宋"/>
          <w:color w:val="auto"/>
          <w:sz w:val="36"/>
          <w:szCs w:val="36"/>
        </w:rPr>
      </w:pPr>
      <w:bookmarkStart w:id="25" w:name="_Toc7042"/>
      <w:bookmarkStart w:id="26" w:name="_Toc38014476"/>
      <w:bookmarkStart w:id="27" w:name="_Toc38014436"/>
      <w:r>
        <w:rPr>
          <w:rFonts w:hint="eastAsia" w:ascii="仿宋" w:hAnsi="仿宋" w:eastAsia="仿宋" w:cs="仿宋"/>
          <w:color w:val="auto"/>
          <w:sz w:val="36"/>
          <w:szCs w:val="36"/>
        </w:rPr>
        <w:br w:type="page"/>
      </w:r>
      <w:r>
        <w:rPr>
          <w:rFonts w:hint="eastAsia" w:ascii="仿宋" w:hAnsi="仿宋" w:eastAsia="仿宋" w:cs="仿宋"/>
          <w:color w:val="auto"/>
          <w:sz w:val="36"/>
          <w:szCs w:val="36"/>
        </w:rPr>
        <w:t>无重大违法记录声明函</w:t>
      </w:r>
      <w:bookmarkEnd w:id="25"/>
      <w:bookmarkEnd w:id="26"/>
      <w:bookmarkEnd w:id="27"/>
    </w:p>
    <w:p>
      <w:pPr>
        <w:spacing w:line="360" w:lineRule="auto"/>
        <w:ind w:firstLine="435"/>
        <w:rPr>
          <w:rFonts w:ascii="仿宋" w:hAnsi="仿宋" w:eastAsia="仿宋" w:cs="仿宋"/>
          <w:color w:val="auto"/>
          <w:sz w:val="32"/>
          <w:szCs w:val="32"/>
        </w:rPr>
      </w:pPr>
      <w:r>
        <w:rPr>
          <w:rFonts w:hint="eastAsia" w:ascii="仿宋" w:hAnsi="仿宋" w:eastAsia="仿宋" w:cs="仿宋"/>
          <w:color w:val="auto"/>
          <w:sz w:val="32"/>
          <w:szCs w:val="32"/>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ascii="仿宋" w:hAnsi="仿宋" w:eastAsia="仿宋" w:cs="仿宋"/>
          <w:color w:val="auto"/>
          <w:sz w:val="32"/>
          <w:szCs w:val="32"/>
        </w:rPr>
      </w:pPr>
      <w:r>
        <w:rPr>
          <w:rFonts w:hint="eastAsia" w:ascii="仿宋" w:hAnsi="仿宋" w:eastAsia="仿宋" w:cs="仿宋"/>
          <w:color w:val="auto"/>
          <w:sz w:val="32"/>
          <w:szCs w:val="32"/>
        </w:rPr>
        <w:t>本公司对上述声明的真实性负责。如有虚假，将依法承担相应责任。</w:t>
      </w:r>
    </w:p>
    <w:p>
      <w:pPr>
        <w:spacing w:line="360" w:lineRule="auto"/>
        <w:rPr>
          <w:rFonts w:ascii="仿宋" w:hAnsi="仿宋" w:eastAsia="仿宋" w:cs="仿宋"/>
          <w:color w:val="auto"/>
          <w:sz w:val="32"/>
          <w:szCs w:val="32"/>
        </w:rPr>
      </w:pPr>
    </w:p>
    <w:p>
      <w:pPr>
        <w:tabs>
          <w:tab w:val="left" w:pos="630"/>
        </w:tabs>
        <w:spacing w:line="360" w:lineRule="auto"/>
        <w:rPr>
          <w:rFonts w:ascii="仿宋" w:hAnsi="仿宋" w:eastAsia="仿宋" w:cs="仿宋"/>
          <w:color w:val="auto"/>
          <w:sz w:val="32"/>
          <w:szCs w:val="32"/>
        </w:rPr>
      </w:pPr>
    </w:p>
    <w:p>
      <w:pPr>
        <w:spacing w:line="360" w:lineRule="auto"/>
        <w:ind w:firstLine="3200" w:firstLineChars="1000"/>
        <w:rPr>
          <w:rFonts w:ascii="仿宋" w:hAnsi="仿宋" w:eastAsia="仿宋" w:cs="仿宋"/>
          <w:color w:val="auto"/>
          <w:sz w:val="32"/>
          <w:szCs w:val="32"/>
          <w:u w:val="single"/>
        </w:rPr>
      </w:pPr>
      <w:r>
        <w:rPr>
          <w:rFonts w:hint="eastAsia" w:ascii="仿宋" w:hAnsi="仿宋" w:eastAsia="仿宋" w:cs="仿宋"/>
          <w:color w:val="auto"/>
          <w:sz w:val="32"/>
          <w:szCs w:val="32"/>
        </w:rPr>
        <w:t>投标供应商签章：</w:t>
      </w:r>
      <w:r>
        <w:rPr>
          <w:rFonts w:hint="eastAsia" w:ascii="仿宋" w:hAnsi="仿宋" w:eastAsia="仿宋" w:cs="仿宋"/>
          <w:color w:val="auto"/>
          <w:sz w:val="32"/>
          <w:szCs w:val="32"/>
          <w:u w:val="single"/>
        </w:rPr>
        <w:t xml:space="preserve">               </w:t>
      </w:r>
    </w:p>
    <w:p>
      <w:pPr>
        <w:tabs>
          <w:tab w:val="left" w:pos="630"/>
        </w:tabs>
        <w:spacing w:line="360" w:lineRule="auto"/>
        <w:ind w:firstLine="3200" w:firstLineChars="1000"/>
        <w:rPr>
          <w:rFonts w:ascii="仿宋" w:hAnsi="仿宋" w:eastAsia="仿宋" w:cs="仿宋"/>
          <w:color w:val="auto"/>
          <w:sz w:val="32"/>
          <w:szCs w:val="32"/>
        </w:rPr>
      </w:pPr>
      <w:r>
        <w:rPr>
          <w:rFonts w:hint="eastAsia" w:ascii="仿宋" w:hAnsi="仿宋" w:eastAsia="仿宋" w:cs="仿宋"/>
          <w:color w:val="auto"/>
          <w:sz w:val="32"/>
          <w:szCs w:val="32"/>
        </w:rPr>
        <w:t>日          期：</w:t>
      </w:r>
      <w:r>
        <w:rPr>
          <w:rFonts w:hint="eastAsia" w:ascii="仿宋" w:hAnsi="仿宋" w:eastAsia="仿宋" w:cs="仿宋"/>
          <w:color w:val="auto"/>
          <w:sz w:val="32"/>
          <w:szCs w:val="32"/>
          <w:u w:val="single"/>
        </w:rPr>
        <w:t xml:space="preserve">               </w:t>
      </w:r>
    </w:p>
    <w:p>
      <w:pPr>
        <w:adjustRightInd w:val="0"/>
        <w:snapToGrid w:val="0"/>
        <w:spacing w:line="360" w:lineRule="auto"/>
        <w:ind w:left="-140" w:leftChars="-67" w:firstLine="420" w:firstLineChars="200"/>
        <w:jc w:val="left"/>
        <w:rPr>
          <w:color w:val="auto"/>
        </w:rPr>
      </w:pPr>
    </w:p>
    <w:p>
      <w:pPr>
        <w:adjustRightInd w:val="0"/>
        <w:snapToGrid w:val="0"/>
        <w:spacing w:line="360" w:lineRule="auto"/>
        <w:ind w:left="-140" w:leftChars="-67" w:firstLine="420" w:firstLineChars="200"/>
        <w:jc w:val="left"/>
        <w:rPr>
          <w:color w:val="auto"/>
        </w:rPr>
      </w:pPr>
    </w:p>
    <w:p>
      <w:pPr>
        <w:adjustRightInd w:val="0"/>
        <w:snapToGrid w:val="0"/>
        <w:spacing w:line="360" w:lineRule="auto"/>
        <w:ind w:left="-140" w:leftChars="-67" w:firstLine="420" w:firstLineChars="200"/>
        <w:jc w:val="left"/>
        <w:rPr>
          <w:color w:val="auto"/>
        </w:rPr>
      </w:pPr>
    </w:p>
    <w:p>
      <w:pPr>
        <w:adjustRightInd w:val="0"/>
        <w:snapToGrid w:val="0"/>
        <w:spacing w:line="360" w:lineRule="auto"/>
        <w:ind w:left="-140" w:leftChars="-67" w:firstLine="420" w:firstLineChars="200"/>
        <w:jc w:val="left"/>
        <w:rPr>
          <w:color w:val="auto"/>
        </w:rPr>
      </w:pPr>
    </w:p>
    <w:p>
      <w:pPr>
        <w:adjustRightInd w:val="0"/>
        <w:snapToGrid w:val="0"/>
        <w:spacing w:line="360" w:lineRule="auto"/>
        <w:ind w:left="-140" w:leftChars="-67" w:firstLine="420" w:firstLineChars="200"/>
        <w:jc w:val="left"/>
        <w:rPr>
          <w:color w:val="auto"/>
        </w:rPr>
      </w:pPr>
    </w:p>
    <w:p>
      <w:pPr>
        <w:adjustRightInd w:val="0"/>
        <w:snapToGrid w:val="0"/>
        <w:spacing w:line="360" w:lineRule="auto"/>
        <w:ind w:left="-140" w:leftChars="-67" w:firstLine="420" w:firstLineChars="200"/>
        <w:jc w:val="left"/>
        <w:rPr>
          <w:color w:val="auto"/>
        </w:rPr>
      </w:pPr>
    </w:p>
    <w:p>
      <w:pPr>
        <w:adjustRightInd w:val="0"/>
        <w:snapToGrid w:val="0"/>
        <w:spacing w:line="360" w:lineRule="auto"/>
        <w:ind w:left="-140" w:leftChars="-67" w:firstLine="420" w:firstLineChars="200"/>
        <w:jc w:val="left"/>
        <w:rPr>
          <w:color w:val="auto"/>
        </w:rPr>
      </w:pPr>
    </w:p>
    <w:p>
      <w:pPr>
        <w:adjustRightInd w:val="0"/>
        <w:snapToGrid w:val="0"/>
        <w:spacing w:line="360" w:lineRule="auto"/>
        <w:ind w:left="-140" w:leftChars="-67" w:firstLine="420" w:firstLineChars="200"/>
        <w:jc w:val="left"/>
        <w:rPr>
          <w:color w:val="auto"/>
        </w:rPr>
      </w:pPr>
    </w:p>
    <w:p>
      <w:pPr>
        <w:pStyle w:val="49"/>
        <w:ind w:left="0" w:leftChars="0" w:firstLine="0" w:firstLineChars="0"/>
        <w:rPr>
          <w:rFonts w:ascii="宋体" w:hAnsi="宋体" w:cs="宋体"/>
          <w:bCs/>
          <w:color w:val="auto"/>
          <w:szCs w:val="21"/>
        </w:rPr>
      </w:pPr>
    </w:p>
    <w:p>
      <w:pPr>
        <w:pStyle w:val="49"/>
        <w:ind w:left="0" w:leftChars="0" w:firstLine="0" w:firstLineChars="0"/>
        <w:rPr>
          <w:rFonts w:ascii="宋体" w:hAnsi="宋体" w:cs="宋体"/>
          <w:bCs/>
          <w:color w:val="auto"/>
          <w:szCs w:val="21"/>
        </w:rPr>
      </w:pPr>
    </w:p>
    <w:p>
      <w:pPr>
        <w:pStyle w:val="49"/>
        <w:ind w:left="0" w:leftChars="0" w:firstLine="0" w:firstLineChars="0"/>
        <w:rPr>
          <w:rFonts w:ascii="宋体" w:hAnsi="宋体" w:cs="宋体"/>
          <w:bCs/>
          <w:color w:val="auto"/>
          <w:szCs w:val="21"/>
        </w:rPr>
      </w:pPr>
    </w:p>
    <w:p>
      <w:pPr>
        <w:pStyle w:val="49"/>
        <w:ind w:left="0" w:leftChars="0" w:firstLine="0" w:firstLineChars="0"/>
        <w:rPr>
          <w:rFonts w:ascii="宋体" w:hAnsi="宋体" w:cs="宋体"/>
          <w:bCs/>
          <w:color w:val="auto"/>
          <w:szCs w:val="21"/>
        </w:rPr>
      </w:pPr>
    </w:p>
    <w:p>
      <w:pPr>
        <w:pStyle w:val="49"/>
        <w:ind w:left="0" w:leftChars="0" w:firstLine="0" w:firstLineChars="0"/>
        <w:rPr>
          <w:rFonts w:ascii="宋体" w:hAnsi="宋体" w:cs="宋体"/>
          <w:bCs/>
          <w:color w:val="auto"/>
          <w:szCs w:val="21"/>
        </w:rPr>
      </w:pPr>
    </w:p>
    <w:p>
      <w:pPr>
        <w:pStyle w:val="49"/>
        <w:ind w:left="0" w:leftChars="0" w:firstLine="0" w:firstLineChars="0"/>
        <w:rPr>
          <w:rFonts w:hint="eastAsia" w:ascii="宋体" w:hAnsi="宋体" w:cs="宋体"/>
          <w:bCs/>
          <w:color w:val="auto"/>
          <w:szCs w:val="21"/>
          <w:lang w:val="en-US" w:eastAsia="zh-CN"/>
        </w:rPr>
      </w:pPr>
    </w:p>
    <w:p>
      <w:pPr>
        <w:pStyle w:val="49"/>
        <w:ind w:left="0" w:leftChars="0" w:firstLine="0" w:firstLineChars="0"/>
        <w:rPr>
          <w:rFonts w:hint="eastAsia" w:ascii="宋体" w:hAnsi="宋体" w:cs="宋体"/>
          <w:bCs/>
          <w:color w:val="auto"/>
          <w:szCs w:val="21"/>
          <w:lang w:val="en-US" w:eastAsia="zh-CN"/>
        </w:rPr>
      </w:pPr>
    </w:p>
    <w:p>
      <w:pPr>
        <w:pStyle w:val="49"/>
        <w:ind w:left="0" w:leftChars="0" w:firstLine="0" w:firstLineChars="0"/>
        <w:rPr>
          <w:rFonts w:hint="eastAsia" w:ascii="宋体" w:hAnsi="宋体" w:cs="宋体"/>
          <w:bCs/>
          <w:color w:val="auto"/>
          <w:szCs w:val="21"/>
          <w:lang w:val="en-US" w:eastAsia="zh-CN"/>
        </w:rPr>
      </w:pPr>
    </w:p>
    <w:p>
      <w:pPr>
        <w:pStyle w:val="49"/>
        <w:ind w:left="0" w:leftChars="0" w:firstLine="0" w:firstLineChars="0"/>
        <w:jc w:val="center"/>
        <w:rPr>
          <w:rFonts w:hint="eastAsia" w:ascii="仿宋" w:hAnsi="仿宋" w:eastAsia="仿宋" w:cs="仿宋"/>
          <w:b/>
          <w:bCs w:val="0"/>
          <w:color w:val="auto"/>
          <w:sz w:val="36"/>
          <w:szCs w:val="36"/>
          <w:lang w:val="en-US" w:eastAsia="zh-CN"/>
        </w:rPr>
      </w:pPr>
      <w:r>
        <w:rPr>
          <w:rFonts w:hint="eastAsia" w:ascii="仿宋" w:hAnsi="仿宋" w:eastAsia="仿宋" w:cs="仿宋"/>
          <w:b/>
          <w:bCs w:val="0"/>
          <w:color w:val="auto"/>
          <w:sz w:val="36"/>
          <w:szCs w:val="36"/>
          <w:lang w:val="en-US" w:eastAsia="zh-CN"/>
        </w:rPr>
        <w:t>其他磋商文件需要提供的材料</w:t>
      </w:r>
    </w:p>
    <w:p>
      <w:pPr>
        <w:spacing w:before="240" w:after="120" w:line="480" w:lineRule="atLeast"/>
        <w:rPr>
          <w:rFonts w:hint="default" w:ascii="宋体" w:hAnsi="宋体" w:eastAsia="宋体"/>
          <w:color w:val="auto"/>
          <w:lang w:val="en-US" w:eastAsia="zh-CN"/>
        </w:rPr>
      </w:pPr>
      <w:r>
        <w:rPr>
          <w:rFonts w:hint="eastAsia" w:ascii="宋体" w:hAnsi="宋体"/>
          <w:color w:val="auto"/>
          <w:lang w:val="en-US" w:eastAsia="zh-CN"/>
        </w:rPr>
        <w:t>如：营业执照等。</w:t>
      </w:r>
    </w:p>
    <w:sectPr>
      <w:headerReference r:id="rId3" w:type="default"/>
      <w:pgSz w:w="11906" w:h="16838"/>
      <w:pgMar w:top="1440" w:right="987" w:bottom="1440" w:left="1871" w:header="851" w:footer="992" w:gutter="0"/>
      <w:cols w:space="720" w:num="1"/>
      <w:docGrid w:type="linesAndChar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Futura Lt">
    <w:altName w:val="Segoe UI"/>
    <w:panose1 w:val="00000000000000000000"/>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0000600000000000000"/>
    <w:charset w:val="86"/>
    <w:family w:val="script"/>
    <w:pitch w:val="default"/>
    <w:sig w:usb0="00000000" w:usb1="00000000" w:usb2="00000012" w:usb3="00000000" w:csb0="00160001" w:csb1="12030000"/>
  </w:font>
  <w:font w:name="Microsoft JhengHei">
    <w:panose1 w:val="020B0604030504040204"/>
    <w:charset w:val="88"/>
    <w:family w:val="swiss"/>
    <w:pitch w:val="default"/>
    <w:sig w:usb0="000002A7" w:usb1="28CF4400" w:usb2="00000016" w:usb3="00000000" w:csb0="00100009" w:csb1="00000000"/>
  </w:font>
  <w:font w:name="Segoe UI Emoji">
    <w:panose1 w:val="020B0502040204020203"/>
    <w:charset w:val="00"/>
    <w:family w:val="swiss"/>
    <w:pitch w:val="default"/>
    <w:sig w:usb0="00000001" w:usb1="02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14C7A"/>
    <w:multiLevelType w:val="singleLevel"/>
    <w:tmpl w:val="9E914C7A"/>
    <w:lvl w:ilvl="0" w:tentative="0">
      <w:start w:val="1"/>
      <w:numFmt w:val="bullet"/>
      <w:lvlText w:val=""/>
      <w:lvlJc w:val="left"/>
      <w:pPr>
        <w:ind w:left="420" w:hanging="420"/>
      </w:pPr>
      <w:rPr>
        <w:rFonts w:hint="default" w:ascii="Wingdings" w:hAnsi="Wingdings"/>
      </w:rPr>
    </w:lvl>
  </w:abstractNum>
  <w:abstractNum w:abstractNumId="1">
    <w:nsid w:val="DF59A3A6"/>
    <w:multiLevelType w:val="singleLevel"/>
    <w:tmpl w:val="DF59A3A6"/>
    <w:lvl w:ilvl="0" w:tentative="0">
      <w:start w:val="1"/>
      <w:numFmt w:val="bullet"/>
      <w:lvlText w:val=""/>
      <w:lvlJc w:val="left"/>
      <w:pPr>
        <w:ind w:left="420" w:hanging="420"/>
      </w:pPr>
      <w:rPr>
        <w:rFonts w:hint="default" w:ascii="Wingdings" w:hAnsi="Wingdings"/>
      </w:rPr>
    </w:lvl>
  </w:abstractNum>
  <w:abstractNum w:abstractNumId="2">
    <w:nsid w:val="00000010"/>
    <w:multiLevelType w:val="singleLevel"/>
    <w:tmpl w:val="00000010"/>
    <w:lvl w:ilvl="0" w:tentative="0">
      <w:start w:val="2"/>
      <w:numFmt w:val="upperLetter"/>
      <w:pStyle w:val="3"/>
      <w:lvlText w:val="%1."/>
      <w:lvlJc w:val="left"/>
      <w:pPr>
        <w:tabs>
          <w:tab w:val="left" w:pos="360"/>
        </w:tabs>
        <w:ind w:left="360" w:hanging="360"/>
      </w:pPr>
      <w:rPr>
        <w:rFonts w:hint="eastAsia"/>
      </w:rPr>
    </w:lvl>
  </w:abstractNum>
  <w:abstractNum w:abstractNumId="3">
    <w:nsid w:val="01AE2AEA"/>
    <w:multiLevelType w:val="multilevel"/>
    <w:tmpl w:val="01AE2AEA"/>
    <w:lvl w:ilvl="0" w:tentative="0">
      <w:start w:val="1"/>
      <w:numFmt w:val="lowerRoman"/>
      <w:pStyle w:val="16"/>
      <w:lvlText w:val="%1."/>
      <w:lvlJc w:val="righ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0C78126B"/>
    <w:multiLevelType w:val="multilevel"/>
    <w:tmpl w:val="0C78126B"/>
    <w:lvl w:ilvl="0" w:tentative="0">
      <w:start w:val="1"/>
      <w:numFmt w:val="japaneseCounting"/>
      <w:lvlText w:val="%1、"/>
      <w:lvlJc w:val="left"/>
      <w:pPr>
        <w:tabs>
          <w:tab w:val="left" w:pos="630"/>
        </w:tabs>
        <w:ind w:left="630" w:hanging="360"/>
      </w:pPr>
      <w:rPr>
        <w:rFonts w:hint="default"/>
      </w:rPr>
    </w:lvl>
    <w:lvl w:ilvl="1" w:tentative="0">
      <w:start w:val="1"/>
      <w:numFmt w:val="lowerLetter"/>
      <w:lvlText w:val="%2)"/>
      <w:lvlJc w:val="left"/>
      <w:pPr>
        <w:tabs>
          <w:tab w:val="left" w:pos="1110"/>
        </w:tabs>
        <w:ind w:left="1110" w:hanging="420"/>
      </w:pPr>
    </w:lvl>
    <w:lvl w:ilvl="2" w:tentative="0">
      <w:start w:val="1"/>
      <w:numFmt w:val="lowerRoman"/>
      <w:pStyle w:val="311"/>
      <w:lvlText w:val="%3."/>
      <w:lvlJc w:val="right"/>
      <w:pPr>
        <w:tabs>
          <w:tab w:val="left" w:pos="1530"/>
        </w:tabs>
        <w:ind w:left="1530" w:hanging="420"/>
      </w:pPr>
    </w:lvl>
    <w:lvl w:ilvl="3" w:tentative="0">
      <w:start w:val="1"/>
      <w:numFmt w:val="decimal"/>
      <w:lvlText w:val="%4."/>
      <w:lvlJc w:val="left"/>
      <w:pPr>
        <w:tabs>
          <w:tab w:val="left" w:pos="1950"/>
        </w:tabs>
        <w:ind w:left="1950" w:hanging="420"/>
      </w:pPr>
    </w:lvl>
    <w:lvl w:ilvl="4" w:tentative="0">
      <w:start w:val="1"/>
      <w:numFmt w:val="lowerLetter"/>
      <w:lvlText w:val="%5)"/>
      <w:lvlJc w:val="left"/>
      <w:pPr>
        <w:tabs>
          <w:tab w:val="left" w:pos="2370"/>
        </w:tabs>
        <w:ind w:left="2370" w:hanging="420"/>
      </w:pPr>
    </w:lvl>
    <w:lvl w:ilvl="5" w:tentative="0">
      <w:start w:val="1"/>
      <w:numFmt w:val="lowerRoman"/>
      <w:lvlText w:val="%6."/>
      <w:lvlJc w:val="right"/>
      <w:pPr>
        <w:tabs>
          <w:tab w:val="left" w:pos="2790"/>
        </w:tabs>
        <w:ind w:left="2790" w:hanging="420"/>
      </w:pPr>
    </w:lvl>
    <w:lvl w:ilvl="6" w:tentative="0">
      <w:start w:val="1"/>
      <w:numFmt w:val="decimal"/>
      <w:lvlText w:val="%7."/>
      <w:lvlJc w:val="left"/>
      <w:pPr>
        <w:tabs>
          <w:tab w:val="left" w:pos="3210"/>
        </w:tabs>
        <w:ind w:left="3210" w:hanging="420"/>
      </w:pPr>
    </w:lvl>
    <w:lvl w:ilvl="7" w:tentative="0">
      <w:start w:val="1"/>
      <w:numFmt w:val="lowerLetter"/>
      <w:lvlText w:val="%8)"/>
      <w:lvlJc w:val="left"/>
      <w:pPr>
        <w:tabs>
          <w:tab w:val="left" w:pos="3630"/>
        </w:tabs>
        <w:ind w:left="3630" w:hanging="420"/>
      </w:pPr>
    </w:lvl>
    <w:lvl w:ilvl="8" w:tentative="0">
      <w:start w:val="1"/>
      <w:numFmt w:val="lowerRoman"/>
      <w:lvlText w:val="%9."/>
      <w:lvlJc w:val="right"/>
      <w:pPr>
        <w:tabs>
          <w:tab w:val="left" w:pos="4050"/>
        </w:tabs>
        <w:ind w:left="4050" w:hanging="420"/>
      </w:pPr>
    </w:lvl>
  </w:abstractNum>
  <w:abstractNum w:abstractNumId="5">
    <w:nsid w:val="11DA16AE"/>
    <w:multiLevelType w:val="multilevel"/>
    <w:tmpl w:val="11DA16A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pStyle w:val="299"/>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A58484B"/>
    <w:multiLevelType w:val="multilevel"/>
    <w:tmpl w:val="1A58484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4F045E"/>
    <w:multiLevelType w:val="multilevel"/>
    <w:tmpl w:val="1D4F045E"/>
    <w:lvl w:ilvl="0" w:tentative="0">
      <w:start w:val="1"/>
      <w:numFmt w:val="lowerRoman"/>
      <w:pStyle w:val="252"/>
      <w:lvlText w:val="%1."/>
      <w:lvlJc w:val="righ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1DC001FD"/>
    <w:multiLevelType w:val="multilevel"/>
    <w:tmpl w:val="1DC001F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FA02D0"/>
    <w:multiLevelType w:val="multilevel"/>
    <w:tmpl w:val="1EFA02D0"/>
    <w:lvl w:ilvl="0" w:tentative="0">
      <w:start w:val="1"/>
      <w:numFmt w:val="decimal"/>
      <w:pStyle w:val="279"/>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A5E227D"/>
    <w:multiLevelType w:val="multilevel"/>
    <w:tmpl w:val="2A5E227D"/>
    <w:lvl w:ilvl="0" w:tentative="0">
      <w:start w:val="1"/>
      <w:numFmt w:val="lowerRoman"/>
      <w:pStyle w:val="223"/>
      <w:lvlText w:val="%1."/>
      <w:lvlJc w:val="righ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
    <w:nsid w:val="45405A55"/>
    <w:multiLevelType w:val="multilevel"/>
    <w:tmpl w:val="45405A55"/>
    <w:lvl w:ilvl="0" w:tentative="0">
      <w:start w:val="1"/>
      <w:numFmt w:val="decimal"/>
      <w:pStyle w:val="20"/>
      <w:lvlText w:val="%1."/>
      <w:lvlJc w:val="left"/>
      <w:pPr>
        <w:ind w:left="425" w:hanging="425"/>
      </w:pPr>
      <w:rPr>
        <w:b/>
      </w:rPr>
    </w:lvl>
    <w:lvl w:ilvl="1" w:tentative="0">
      <w:start w:val="1"/>
      <w:numFmt w:val="decimal"/>
      <w:pStyle w:val="297"/>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2">
    <w:nsid w:val="51B97A3B"/>
    <w:multiLevelType w:val="multilevel"/>
    <w:tmpl w:val="51B97A3B"/>
    <w:lvl w:ilvl="0" w:tentative="0">
      <w:start w:val="1"/>
      <w:numFmt w:val="bullet"/>
      <w:lvlText w:val=""/>
      <w:lvlJc w:val="left"/>
      <w:pPr>
        <w:ind w:left="900" w:hanging="420"/>
      </w:pPr>
      <w:rPr>
        <w:rFonts w:hint="default" w:ascii="Wingdings" w:hAnsi="Wingdings"/>
      </w:rPr>
    </w:lvl>
    <w:lvl w:ilvl="1" w:tentative="0">
      <w:start w:val="1"/>
      <w:numFmt w:val="bullet"/>
      <w:pStyle w:val="278"/>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564A0A2B"/>
    <w:multiLevelType w:val="multilevel"/>
    <w:tmpl w:val="564A0A2B"/>
    <w:lvl w:ilvl="0" w:tentative="0">
      <w:start w:val="1"/>
      <w:numFmt w:val="bullet"/>
      <w:pStyle w:val="24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5A27956A"/>
    <w:multiLevelType w:val="multilevel"/>
    <w:tmpl w:val="5A27956A"/>
    <w:lvl w:ilvl="0" w:tentative="0">
      <w:start w:val="1"/>
      <w:numFmt w:val="decimal"/>
      <w:isLgl/>
      <w:suff w:val="space"/>
      <w:lvlText w:val="第%1章"/>
      <w:lvlJc w:val="left"/>
      <w:pPr>
        <w:tabs>
          <w:tab w:val="left" w:pos="284"/>
        </w:tabs>
        <w:ind w:left="284" w:firstLine="0"/>
      </w:pPr>
      <w:rPr>
        <w:rFonts w:hint="default" w:ascii="宋体" w:hAnsi="宋体" w:eastAsia="宋体" w:cs="宋体"/>
        <w:b w:val="0"/>
        <w:bCs w:val="0"/>
        <w:i w:val="0"/>
        <w:iCs w:val="0"/>
        <w:caps w:val="0"/>
        <w:smallCaps w:val="0"/>
        <w:strike w:val="0"/>
        <w:dstrike w:val="0"/>
        <w:outline w:val="0"/>
        <w:shadow w:val="0"/>
        <w:emboss w:val="0"/>
        <w:imprint w:val="0"/>
        <w:vanish w:val="0"/>
        <w:spacing w:val="0"/>
        <w:position w:val="0"/>
        <w:sz w:val="36"/>
        <w:u w:val="none"/>
        <w:vertAlign w:val="baseline"/>
      </w:rPr>
    </w:lvl>
    <w:lvl w:ilvl="1" w:tentative="0">
      <w:start w:val="1"/>
      <w:numFmt w:val="decimal"/>
      <w:isLgl/>
      <w:suff w:val="space"/>
      <w:lvlText w:val="%1.%2"/>
      <w:lvlJc w:val="left"/>
      <w:pPr>
        <w:tabs>
          <w:tab w:val="left" w:pos="425"/>
        </w:tabs>
        <w:ind w:left="0" w:firstLine="0"/>
      </w:pPr>
      <w:rPr>
        <w:rFonts w:hint="eastAsia"/>
        <w:b w:val="0"/>
        <w:i w:val="0"/>
        <w:color w:val="000000"/>
      </w:rPr>
    </w:lvl>
    <w:lvl w:ilvl="2" w:tentative="0">
      <w:start w:val="1"/>
      <w:numFmt w:val="decimal"/>
      <w:pStyle w:val="247"/>
      <w:isLgl/>
      <w:suff w:val="space"/>
      <w:lvlText w:val="%1.%2.%3"/>
      <w:lvlJc w:val="left"/>
      <w:pPr>
        <w:tabs>
          <w:tab w:val="left" w:pos="0"/>
        </w:tabs>
        <w:ind w:left="0" w:firstLine="0"/>
      </w:pPr>
      <w:rPr>
        <w:rFonts w:hint="eastAsia"/>
      </w:rPr>
    </w:lvl>
    <w:lvl w:ilvl="3" w:tentative="0">
      <w:start w:val="1"/>
      <w:numFmt w:val="decimal"/>
      <w:isLgl/>
      <w:lvlText w:val="%1.%2.%3.%4"/>
      <w:lvlJc w:val="left"/>
      <w:pPr>
        <w:tabs>
          <w:tab w:val="left" w:pos="425"/>
        </w:tabs>
        <w:ind w:left="0" w:firstLine="0"/>
      </w:pPr>
      <w:rPr>
        <w:rFonts w:hint="eastAsia"/>
      </w:rPr>
    </w:lvl>
    <w:lvl w:ilvl="4" w:tentative="0">
      <w:start w:val="1"/>
      <w:numFmt w:val="decimal"/>
      <w:isLgl/>
      <w:lvlText w:val="%1.%2.%3.%4.%5"/>
      <w:lvlJc w:val="left"/>
      <w:pPr>
        <w:tabs>
          <w:tab w:val="left" w:pos="425"/>
        </w:tabs>
        <w:ind w:left="0" w:firstLine="0"/>
      </w:pPr>
      <w:rPr>
        <w:rFonts w:hint="eastAsia"/>
        <w:b w:val="0"/>
      </w:rPr>
    </w:lvl>
    <w:lvl w:ilvl="5" w:tentative="0">
      <w:start w:val="1"/>
      <w:numFmt w:val="decimal"/>
      <w:isLgl/>
      <w:lvlText w:val="%1.%2.%3.%4.%5.%6"/>
      <w:lvlJc w:val="left"/>
      <w:pPr>
        <w:tabs>
          <w:tab w:val="left" w:pos="425"/>
        </w:tabs>
        <w:ind w:left="0" w:firstLine="0"/>
      </w:pPr>
      <w:rPr>
        <w:rFonts w:hint="eastAsia"/>
      </w:rPr>
    </w:lvl>
    <w:lvl w:ilvl="6" w:tentative="0">
      <w:start w:val="1"/>
      <w:numFmt w:val="decimal"/>
      <w:isLgl/>
      <w:lvlText w:val="%1.%2.%3.%4.%5.%6.%7"/>
      <w:lvlJc w:val="left"/>
      <w:pPr>
        <w:tabs>
          <w:tab w:val="left" w:pos="425"/>
        </w:tabs>
        <w:ind w:left="0" w:firstLine="0"/>
      </w:pPr>
      <w:rPr>
        <w:rFonts w:hint="eastAsia"/>
      </w:rPr>
    </w:lvl>
    <w:lvl w:ilvl="7" w:tentative="0">
      <w:start w:val="1"/>
      <w:numFmt w:val="decimal"/>
      <w:isLgl/>
      <w:lvlText w:val="%1.%2.%3.%4.%5.%6.%7.%8"/>
      <w:lvlJc w:val="left"/>
      <w:pPr>
        <w:tabs>
          <w:tab w:val="left" w:pos="425"/>
        </w:tabs>
        <w:ind w:left="0" w:firstLine="0"/>
      </w:pPr>
      <w:rPr>
        <w:rFonts w:hint="eastAsia"/>
      </w:rPr>
    </w:lvl>
    <w:lvl w:ilvl="8" w:tentative="0">
      <w:start w:val="1"/>
      <w:numFmt w:val="decimal"/>
      <w:isLgl/>
      <w:lvlText w:val="%1.%2.%3.%4.%5.%6.%7.%8.%9"/>
      <w:lvlJc w:val="left"/>
      <w:pPr>
        <w:tabs>
          <w:tab w:val="left" w:pos="425"/>
        </w:tabs>
        <w:ind w:left="0" w:firstLine="0"/>
      </w:pPr>
      <w:rPr>
        <w:rFonts w:hint="eastAsia"/>
      </w:rPr>
    </w:lvl>
  </w:abstractNum>
  <w:abstractNum w:abstractNumId="15">
    <w:nsid w:val="689A2537"/>
    <w:multiLevelType w:val="multilevel"/>
    <w:tmpl w:val="689A2537"/>
    <w:lvl w:ilvl="0" w:tentative="0">
      <w:start w:val="1"/>
      <w:numFmt w:val="decimal"/>
      <w:pStyle w:val="270"/>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6">
    <w:nsid w:val="7BED0A6B"/>
    <w:multiLevelType w:val="multilevel"/>
    <w:tmpl w:val="7BED0A6B"/>
    <w:lvl w:ilvl="0" w:tentative="0">
      <w:start w:val="1"/>
      <w:numFmt w:val="lowerRoman"/>
      <w:pStyle w:val="318"/>
      <w:lvlText w:val="%1."/>
      <w:lvlJc w:val="right"/>
      <w:pPr>
        <w:ind w:left="845" w:hanging="420"/>
      </w:pPr>
    </w:lvl>
    <w:lvl w:ilvl="1" w:tentative="0">
      <w:start w:val="1"/>
      <w:numFmt w:val="lowerLetter"/>
      <w:pStyle w:val="255"/>
      <w:lvlText w:val="%2)"/>
      <w:lvlJc w:val="left"/>
      <w:pPr>
        <w:ind w:left="1265" w:hanging="420"/>
      </w:pPr>
    </w:lvl>
    <w:lvl w:ilvl="2" w:tentative="0">
      <w:start w:val="1"/>
      <w:numFmt w:val="lowerRoman"/>
      <w:pStyle w:val="120"/>
      <w:lvlText w:val="%3."/>
      <w:lvlJc w:val="right"/>
      <w:pPr>
        <w:ind w:left="1685" w:hanging="420"/>
      </w:pPr>
    </w:lvl>
    <w:lvl w:ilvl="3" w:tentative="0">
      <w:start w:val="1"/>
      <w:numFmt w:val="decimal"/>
      <w:pStyle w:val="121"/>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7">
    <w:nsid w:val="7FF3584D"/>
    <w:multiLevelType w:val="multilevel"/>
    <w:tmpl w:val="7FF3584D"/>
    <w:lvl w:ilvl="0" w:tentative="0">
      <w:start w:val="1"/>
      <w:numFmt w:val="decimal"/>
      <w:pStyle w:val="152"/>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3"/>
  </w:num>
  <w:num w:numId="3">
    <w:abstractNumId w:val="11"/>
  </w:num>
  <w:num w:numId="4">
    <w:abstractNumId w:val="16"/>
  </w:num>
  <w:num w:numId="5">
    <w:abstractNumId w:val="17"/>
  </w:num>
  <w:num w:numId="6">
    <w:abstractNumId w:val="10"/>
  </w:num>
  <w:num w:numId="7">
    <w:abstractNumId w:val="13"/>
  </w:num>
  <w:num w:numId="8">
    <w:abstractNumId w:val="14"/>
  </w:num>
  <w:num w:numId="9">
    <w:abstractNumId w:val="7"/>
  </w:num>
  <w:num w:numId="10">
    <w:abstractNumId w:val="15"/>
  </w:num>
  <w:num w:numId="11">
    <w:abstractNumId w:val="12"/>
  </w:num>
  <w:num w:numId="12">
    <w:abstractNumId w:val="9"/>
  </w:num>
  <w:num w:numId="13">
    <w:abstractNumId w:val="5"/>
  </w:num>
  <w:num w:numId="14">
    <w:abstractNumId w:val="4"/>
  </w:num>
  <w:num w:numId="15">
    <w:abstractNumId w:val="0"/>
  </w:num>
  <w:num w:numId="16">
    <w:abstractNumId w:val="1"/>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N2ExNjI2OGYwNGI3NTI5MTUwYzA2MTA4YmE0MTg3MDIifQ=="/>
  </w:docVars>
  <w:rsids>
    <w:rsidRoot w:val="00411E46"/>
    <w:rsid w:val="000C7E26"/>
    <w:rsid w:val="00141888"/>
    <w:rsid w:val="001466A5"/>
    <w:rsid w:val="0015562D"/>
    <w:rsid w:val="001B61C1"/>
    <w:rsid w:val="002022E1"/>
    <w:rsid w:val="0026447A"/>
    <w:rsid w:val="002B6F8F"/>
    <w:rsid w:val="002C321C"/>
    <w:rsid w:val="002D766E"/>
    <w:rsid w:val="0035375F"/>
    <w:rsid w:val="004053A7"/>
    <w:rsid w:val="00411E46"/>
    <w:rsid w:val="00412253"/>
    <w:rsid w:val="0042339B"/>
    <w:rsid w:val="004563F8"/>
    <w:rsid w:val="004A7182"/>
    <w:rsid w:val="00531DFE"/>
    <w:rsid w:val="00531E27"/>
    <w:rsid w:val="00577205"/>
    <w:rsid w:val="005E2776"/>
    <w:rsid w:val="005F54F4"/>
    <w:rsid w:val="00634AEE"/>
    <w:rsid w:val="006C7FE8"/>
    <w:rsid w:val="007521C6"/>
    <w:rsid w:val="00887431"/>
    <w:rsid w:val="008E4F8D"/>
    <w:rsid w:val="00911F26"/>
    <w:rsid w:val="009666D8"/>
    <w:rsid w:val="009704E4"/>
    <w:rsid w:val="009C2F60"/>
    <w:rsid w:val="00A10435"/>
    <w:rsid w:val="00A34023"/>
    <w:rsid w:val="00AD2FA9"/>
    <w:rsid w:val="00AE2D14"/>
    <w:rsid w:val="00AF091B"/>
    <w:rsid w:val="00BE6675"/>
    <w:rsid w:val="00C366EF"/>
    <w:rsid w:val="00CB77D9"/>
    <w:rsid w:val="00CD654D"/>
    <w:rsid w:val="00D0705F"/>
    <w:rsid w:val="00D33C0F"/>
    <w:rsid w:val="00D557A9"/>
    <w:rsid w:val="00D7442D"/>
    <w:rsid w:val="00D87FC6"/>
    <w:rsid w:val="00DD4BC9"/>
    <w:rsid w:val="00E4168E"/>
    <w:rsid w:val="00E86B34"/>
    <w:rsid w:val="00F6670A"/>
    <w:rsid w:val="022F10DF"/>
    <w:rsid w:val="03433185"/>
    <w:rsid w:val="057D5488"/>
    <w:rsid w:val="13AE1B33"/>
    <w:rsid w:val="20BC6948"/>
    <w:rsid w:val="26E5427B"/>
    <w:rsid w:val="2B737A96"/>
    <w:rsid w:val="35587607"/>
    <w:rsid w:val="358E03AB"/>
    <w:rsid w:val="399576C1"/>
    <w:rsid w:val="3AAF69F2"/>
    <w:rsid w:val="3DBA6791"/>
    <w:rsid w:val="3DC058B7"/>
    <w:rsid w:val="41D76731"/>
    <w:rsid w:val="45F12B0A"/>
    <w:rsid w:val="4E634CD9"/>
    <w:rsid w:val="539E7F45"/>
    <w:rsid w:val="59505F9B"/>
    <w:rsid w:val="5A02402A"/>
    <w:rsid w:val="5BFE27FB"/>
    <w:rsid w:val="5EE560F6"/>
    <w:rsid w:val="61E971D7"/>
    <w:rsid w:val="772C3E96"/>
    <w:rsid w:val="7C327BE9"/>
    <w:rsid w:val="7F2A1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3"/>
    <w:qFormat/>
    <w:uiPriority w:val="0"/>
    <w:pPr>
      <w:keepNext/>
      <w:numPr>
        <w:ilvl w:val="0"/>
        <w:numId w:val="1"/>
      </w:numPr>
      <w:tabs>
        <w:tab w:val="left" w:pos="1155"/>
      </w:tabs>
      <w:outlineLvl w:val="0"/>
    </w:pPr>
    <w:rPr>
      <w:rFonts w:ascii="Arial" w:hAnsi="Arial" w:eastAsia="仿宋_GB2312"/>
      <w:sz w:val="28"/>
      <w:lang w:bidi="he-IL"/>
    </w:rPr>
  </w:style>
  <w:style w:type="paragraph" w:styleId="4">
    <w:name w:val="heading 2"/>
    <w:basedOn w:val="1"/>
    <w:next w:val="1"/>
    <w:link w:val="64"/>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65"/>
    <w:qFormat/>
    <w:uiPriority w:val="0"/>
    <w:pPr>
      <w:keepNext/>
      <w:keepLines/>
      <w:spacing w:before="260" w:after="260" w:line="415" w:lineRule="auto"/>
      <w:outlineLvl w:val="2"/>
    </w:pPr>
    <w:rPr>
      <w:b/>
      <w:bCs/>
      <w:sz w:val="32"/>
      <w:szCs w:val="32"/>
    </w:rPr>
  </w:style>
  <w:style w:type="paragraph" w:styleId="6">
    <w:name w:val="heading 4"/>
    <w:basedOn w:val="1"/>
    <w:next w:val="1"/>
    <w:link w:val="66"/>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67"/>
    <w:qFormat/>
    <w:uiPriority w:val="9"/>
    <w:pPr>
      <w:keepNext/>
      <w:keepLines/>
      <w:spacing w:before="280" w:after="290" w:line="376" w:lineRule="auto"/>
      <w:outlineLvl w:val="4"/>
    </w:pPr>
    <w:rPr>
      <w:b/>
      <w:bCs/>
      <w:sz w:val="28"/>
      <w:szCs w:val="28"/>
    </w:rPr>
  </w:style>
  <w:style w:type="paragraph" w:styleId="8">
    <w:name w:val="heading 6"/>
    <w:basedOn w:val="1"/>
    <w:next w:val="1"/>
    <w:link w:val="68"/>
    <w:qFormat/>
    <w:uiPriority w:val="0"/>
    <w:pPr>
      <w:keepNext/>
      <w:keepLines/>
      <w:spacing w:before="240" w:after="64" w:line="320" w:lineRule="auto"/>
      <w:outlineLvl w:val="5"/>
    </w:pPr>
    <w:rPr>
      <w:rFonts w:ascii="Cambria" w:hAnsi="Cambria"/>
      <w:b/>
      <w:bCs/>
      <w:sz w:val="24"/>
      <w:szCs w:val="24"/>
    </w:rPr>
  </w:style>
  <w:style w:type="paragraph" w:styleId="9">
    <w:name w:val="heading 7"/>
    <w:basedOn w:val="1"/>
    <w:next w:val="1"/>
    <w:link w:val="69"/>
    <w:qFormat/>
    <w:uiPriority w:val="0"/>
    <w:pPr>
      <w:keepNext/>
      <w:keepLines/>
      <w:spacing w:before="240" w:after="64" w:line="320" w:lineRule="auto"/>
      <w:outlineLvl w:val="6"/>
    </w:pPr>
    <w:rPr>
      <w:b/>
      <w:bCs/>
      <w:sz w:val="24"/>
      <w:szCs w:val="24"/>
    </w:rPr>
  </w:style>
  <w:style w:type="paragraph" w:styleId="10">
    <w:name w:val="heading 8"/>
    <w:basedOn w:val="1"/>
    <w:next w:val="1"/>
    <w:link w:val="70"/>
    <w:qFormat/>
    <w:uiPriority w:val="0"/>
    <w:pPr>
      <w:keepNext/>
      <w:keepLines/>
      <w:tabs>
        <w:tab w:val="left" w:pos="1440"/>
      </w:tabs>
      <w:spacing w:before="240" w:after="64" w:line="317" w:lineRule="auto"/>
      <w:ind w:left="1440" w:hanging="1440"/>
      <w:outlineLvl w:val="7"/>
    </w:pPr>
    <w:rPr>
      <w:rFonts w:ascii="Arial" w:hAnsi="Arial" w:eastAsia="黑体"/>
      <w:sz w:val="24"/>
      <w:szCs w:val="24"/>
    </w:rPr>
  </w:style>
  <w:style w:type="paragraph" w:styleId="11">
    <w:name w:val="heading 9"/>
    <w:basedOn w:val="1"/>
    <w:next w:val="1"/>
    <w:link w:val="71"/>
    <w:qFormat/>
    <w:uiPriority w:val="0"/>
    <w:pPr>
      <w:keepNext/>
      <w:keepLines/>
      <w:tabs>
        <w:tab w:val="left" w:pos="1584"/>
      </w:tabs>
      <w:spacing w:before="240" w:after="64" w:line="317" w:lineRule="auto"/>
      <w:ind w:left="1584" w:hanging="1584"/>
      <w:outlineLvl w:val="8"/>
    </w:pPr>
    <w:rPr>
      <w:rFonts w:ascii="Arial" w:hAnsi="Arial" w:eastAsia="黑体"/>
      <w:szCs w:val="21"/>
    </w:rPr>
  </w:style>
  <w:style w:type="character" w:default="1" w:styleId="52">
    <w:name w:val="Default Paragraph Font"/>
    <w:semiHidden/>
    <w:unhideWhenUsed/>
    <w:uiPriority w:val="1"/>
  </w:style>
  <w:style w:type="table" w:default="1" w:styleId="50">
    <w:name w:val="Normal Table"/>
    <w:semiHidden/>
    <w:unhideWhenUsed/>
    <w:qFormat/>
    <w:uiPriority w:val="99"/>
    <w:pPr>
      <w:keepNext w:val="0"/>
      <w:keepLines w:val="0"/>
      <w:widowControl/>
      <w:suppressLineNumbers w:val="0"/>
      <w:spacing w:before="0" w:beforeAutospacing="0" w:after="0" w:afterAutospacing="0"/>
      <w:ind w:left="0" w:right="0"/>
    </w:pPr>
    <w:rPr>
      <w:rFonts w:ascii="等线" w:hAnsi="等线" w:eastAsia="等线" w:cs="等线"/>
      <w:kern w:val="2"/>
      <w:sz w:val="21"/>
      <w:szCs w:val="22"/>
    </w:rPr>
    <w:tblPr>
      <w:tblCellMar>
        <w:top w:w="0" w:type="dxa"/>
        <w:left w:w="108" w:type="dxa"/>
        <w:bottom w:w="0" w:type="dxa"/>
        <w:right w:w="108" w:type="dxa"/>
      </w:tblCellMar>
    </w:tblPr>
  </w:style>
  <w:style w:type="paragraph" w:styleId="2">
    <w:name w:val="Body Text"/>
    <w:basedOn w:val="1"/>
    <w:link w:val="76"/>
    <w:qFormat/>
    <w:uiPriority w:val="99"/>
    <w:pPr>
      <w:jc w:val="center"/>
    </w:pPr>
    <w:rPr>
      <w:rFonts w:ascii="Arial" w:hAnsi="Arial" w:eastAsia="隶书"/>
      <w:b/>
      <w:w w:val="90"/>
      <w:sz w:val="44"/>
      <w:szCs w:val="24"/>
    </w:rPr>
  </w:style>
  <w:style w:type="paragraph" w:styleId="12">
    <w:name w:val="toc 7"/>
    <w:basedOn w:val="1"/>
    <w:next w:val="1"/>
    <w:qFormat/>
    <w:uiPriority w:val="0"/>
    <w:pPr>
      <w:ind w:left="1200" w:leftChars="1200"/>
    </w:pPr>
  </w:style>
  <w:style w:type="paragraph" w:styleId="13">
    <w:name w:val="Note Heading"/>
    <w:basedOn w:val="1"/>
    <w:next w:val="1"/>
    <w:link w:val="72"/>
    <w:qFormat/>
    <w:uiPriority w:val="0"/>
    <w:pPr>
      <w:jc w:val="center"/>
    </w:pPr>
  </w:style>
  <w:style w:type="paragraph" w:styleId="14">
    <w:name w:val="Normal Indent"/>
    <w:basedOn w:val="1"/>
    <w:link w:val="73"/>
    <w:qFormat/>
    <w:uiPriority w:val="0"/>
    <w:pPr>
      <w:autoSpaceDE w:val="0"/>
      <w:autoSpaceDN w:val="0"/>
      <w:spacing w:line="360" w:lineRule="auto"/>
      <w:ind w:left="181" w:firstLine="420"/>
    </w:pPr>
    <w:rPr>
      <w:sz w:val="24"/>
      <w:szCs w:val="24"/>
    </w:rPr>
  </w:style>
  <w:style w:type="paragraph" w:styleId="15">
    <w:name w:val="caption"/>
    <w:basedOn w:val="1"/>
    <w:next w:val="1"/>
    <w:qFormat/>
    <w:uiPriority w:val="0"/>
    <w:pPr>
      <w:spacing w:line="360" w:lineRule="auto"/>
    </w:pPr>
    <w:rPr>
      <w:rFonts w:ascii="Arial" w:hAnsi="Arial" w:eastAsia="黑体" w:cs="Arial"/>
      <w:sz w:val="20"/>
    </w:rPr>
  </w:style>
  <w:style w:type="paragraph" w:styleId="16">
    <w:name w:val="List Bullet"/>
    <w:qFormat/>
    <w:uiPriority w:val="0"/>
    <w:pPr>
      <w:numPr>
        <w:ilvl w:val="0"/>
        <w:numId w:val="2"/>
      </w:numPr>
      <w:spacing w:beforeLines="50" w:afterLines="50" w:line="300" w:lineRule="auto"/>
      <w:ind w:left="480" w:leftChars="200" w:firstLine="0"/>
    </w:pPr>
    <w:rPr>
      <w:rFonts w:ascii="Arial" w:hAnsi="Arial" w:eastAsia="宋体" w:cs="Times New Roman"/>
      <w:kern w:val="24"/>
      <w:sz w:val="24"/>
      <w:szCs w:val="24"/>
      <w:lang w:val="en-US" w:eastAsia="zh-CN" w:bidi="ar-SA"/>
    </w:rPr>
  </w:style>
  <w:style w:type="paragraph" w:styleId="17">
    <w:name w:val="Document Map"/>
    <w:basedOn w:val="1"/>
    <w:link w:val="74"/>
    <w:qFormat/>
    <w:uiPriority w:val="0"/>
    <w:rPr>
      <w:rFonts w:ascii="宋体"/>
      <w:sz w:val="18"/>
      <w:szCs w:val="18"/>
    </w:rPr>
  </w:style>
  <w:style w:type="paragraph" w:styleId="18">
    <w:name w:val="toa heading"/>
    <w:basedOn w:val="1"/>
    <w:next w:val="1"/>
    <w:qFormat/>
    <w:uiPriority w:val="0"/>
    <w:pPr>
      <w:spacing w:before="120"/>
    </w:pPr>
    <w:rPr>
      <w:rFonts w:ascii="Arial" w:hAnsi="Arial" w:cs="Arial"/>
      <w:sz w:val="24"/>
      <w:szCs w:val="24"/>
    </w:rPr>
  </w:style>
  <w:style w:type="paragraph" w:styleId="19">
    <w:name w:val="annotation text"/>
    <w:basedOn w:val="1"/>
    <w:link w:val="75"/>
    <w:qFormat/>
    <w:uiPriority w:val="99"/>
    <w:pPr>
      <w:jc w:val="left"/>
    </w:pPr>
  </w:style>
  <w:style w:type="paragraph" w:styleId="20">
    <w:name w:val="List Bullet 3"/>
    <w:qFormat/>
    <w:uiPriority w:val="0"/>
    <w:pPr>
      <w:numPr>
        <w:ilvl w:val="0"/>
        <w:numId w:val="3"/>
      </w:numPr>
      <w:tabs>
        <w:tab w:val="left" w:pos="1200"/>
      </w:tabs>
      <w:spacing w:beforeLines="50" w:afterLines="50" w:line="300" w:lineRule="auto"/>
      <w:ind w:left="600" w:leftChars="600" w:firstLine="0"/>
    </w:pPr>
    <w:rPr>
      <w:rFonts w:ascii="Arial" w:hAnsi="Arial" w:eastAsia="宋体" w:cs="Times New Roman"/>
      <w:kern w:val="24"/>
      <w:sz w:val="24"/>
      <w:szCs w:val="24"/>
      <w:lang w:val="en-US" w:eastAsia="ar-SA" w:bidi="ar-SA"/>
    </w:rPr>
  </w:style>
  <w:style w:type="paragraph" w:styleId="21">
    <w:name w:val="Body Text Indent"/>
    <w:basedOn w:val="1"/>
    <w:link w:val="77"/>
    <w:qFormat/>
    <w:uiPriority w:val="0"/>
    <w:pPr>
      <w:ind w:firstLine="645"/>
    </w:pPr>
    <w:rPr>
      <w:rFonts w:ascii="楷体_GB2312" w:eastAsia="楷体_GB2312"/>
      <w:sz w:val="32"/>
    </w:rPr>
  </w:style>
  <w:style w:type="paragraph" w:styleId="22">
    <w:name w:val="List 2"/>
    <w:basedOn w:val="1"/>
    <w:qFormat/>
    <w:uiPriority w:val="0"/>
    <w:pPr>
      <w:suppressAutoHyphens/>
      <w:spacing w:beforeLines="50" w:afterLines="50" w:line="300" w:lineRule="auto"/>
      <w:ind w:left="100" w:leftChars="200" w:hanging="200" w:hangingChars="200"/>
    </w:pPr>
    <w:rPr>
      <w:rFonts w:ascii="Arial" w:hAnsi="Arial"/>
      <w:kern w:val="24"/>
      <w:sz w:val="24"/>
      <w:szCs w:val="24"/>
      <w:lang w:eastAsia="ar-SA"/>
    </w:rPr>
  </w:style>
  <w:style w:type="paragraph" w:styleId="23">
    <w:name w:val="List Bullet 2"/>
    <w:basedOn w:val="1"/>
    <w:qFormat/>
    <w:uiPriority w:val="0"/>
    <w:pPr>
      <w:tabs>
        <w:tab w:val="left" w:pos="360"/>
        <w:tab w:val="left" w:pos="780"/>
      </w:tabs>
      <w:spacing w:beforeLines="50" w:afterLines="50" w:line="300" w:lineRule="auto"/>
      <w:ind w:left="400" w:leftChars="400"/>
    </w:pPr>
    <w:rPr>
      <w:rFonts w:ascii="Arial" w:hAnsi="Arial"/>
      <w:kern w:val="24"/>
      <w:sz w:val="24"/>
      <w:szCs w:val="24"/>
      <w:lang w:eastAsia="ar-SA"/>
    </w:rPr>
  </w:style>
  <w:style w:type="paragraph" w:styleId="24">
    <w:name w:val="toc 5"/>
    <w:basedOn w:val="1"/>
    <w:next w:val="1"/>
    <w:qFormat/>
    <w:uiPriority w:val="0"/>
    <w:pPr>
      <w:ind w:left="800" w:leftChars="800"/>
    </w:pPr>
  </w:style>
  <w:style w:type="paragraph" w:styleId="25">
    <w:name w:val="toc 3"/>
    <w:basedOn w:val="1"/>
    <w:next w:val="1"/>
    <w:qFormat/>
    <w:uiPriority w:val="39"/>
    <w:pPr>
      <w:ind w:left="400" w:leftChars="400"/>
    </w:pPr>
  </w:style>
  <w:style w:type="paragraph" w:styleId="26">
    <w:name w:val="Plain Text"/>
    <w:basedOn w:val="1"/>
    <w:link w:val="78"/>
    <w:qFormat/>
    <w:uiPriority w:val="0"/>
    <w:rPr>
      <w:rFonts w:ascii="宋体"/>
    </w:rPr>
  </w:style>
  <w:style w:type="paragraph" w:styleId="27">
    <w:name w:val="toc 8"/>
    <w:basedOn w:val="1"/>
    <w:next w:val="1"/>
    <w:qFormat/>
    <w:uiPriority w:val="0"/>
    <w:pPr>
      <w:ind w:left="1400" w:leftChars="1400"/>
    </w:pPr>
  </w:style>
  <w:style w:type="paragraph" w:styleId="28">
    <w:name w:val="Date"/>
    <w:basedOn w:val="1"/>
    <w:next w:val="1"/>
    <w:link w:val="79"/>
    <w:qFormat/>
    <w:uiPriority w:val="0"/>
    <w:pPr>
      <w:ind w:left="2500" w:leftChars="2500"/>
    </w:pPr>
  </w:style>
  <w:style w:type="paragraph" w:styleId="29">
    <w:name w:val="Body Text Indent 2"/>
    <w:basedOn w:val="1"/>
    <w:link w:val="80"/>
    <w:qFormat/>
    <w:uiPriority w:val="0"/>
    <w:pPr>
      <w:ind w:left="630" w:firstLine="645"/>
    </w:pPr>
    <w:rPr>
      <w:rFonts w:ascii="Arial" w:hAnsi="Arial" w:eastAsia="仿宋_GB2312"/>
      <w:sz w:val="32"/>
    </w:rPr>
  </w:style>
  <w:style w:type="paragraph" w:styleId="30">
    <w:name w:val="endnote text"/>
    <w:basedOn w:val="1"/>
    <w:link w:val="81"/>
    <w:qFormat/>
    <w:uiPriority w:val="0"/>
    <w:pPr>
      <w:suppressAutoHyphens/>
      <w:snapToGrid w:val="0"/>
      <w:spacing w:beforeLines="50" w:afterLines="50" w:line="300" w:lineRule="auto"/>
      <w:ind w:firstLine="200" w:firstLineChars="200"/>
      <w:jc w:val="left"/>
    </w:pPr>
    <w:rPr>
      <w:rFonts w:ascii="Arial" w:hAnsi="Arial"/>
      <w:kern w:val="24"/>
      <w:sz w:val="24"/>
      <w:szCs w:val="24"/>
      <w:lang w:eastAsia="ar-SA"/>
    </w:rPr>
  </w:style>
  <w:style w:type="paragraph" w:styleId="31">
    <w:name w:val="Balloon Text"/>
    <w:basedOn w:val="1"/>
    <w:link w:val="82"/>
    <w:qFormat/>
    <w:uiPriority w:val="99"/>
    <w:rPr>
      <w:sz w:val="18"/>
      <w:szCs w:val="18"/>
    </w:rPr>
  </w:style>
  <w:style w:type="paragraph" w:styleId="32">
    <w:name w:val="footer"/>
    <w:basedOn w:val="1"/>
    <w:link w:val="62"/>
    <w:unhideWhenUsed/>
    <w:qFormat/>
    <w:uiPriority w:val="99"/>
    <w:pPr>
      <w:tabs>
        <w:tab w:val="center" w:pos="4153"/>
        <w:tab w:val="right" w:pos="8306"/>
      </w:tabs>
      <w:snapToGrid w:val="0"/>
      <w:jc w:val="left"/>
    </w:pPr>
    <w:rPr>
      <w:sz w:val="18"/>
      <w:szCs w:val="18"/>
    </w:rPr>
  </w:style>
  <w:style w:type="paragraph" w:styleId="33">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style>
  <w:style w:type="paragraph" w:styleId="35">
    <w:name w:val="toc 4"/>
    <w:basedOn w:val="1"/>
    <w:next w:val="1"/>
    <w:qFormat/>
    <w:uiPriority w:val="0"/>
    <w:pPr>
      <w:ind w:left="600" w:leftChars="600"/>
    </w:pPr>
  </w:style>
  <w:style w:type="paragraph" w:styleId="36">
    <w:name w:val="List"/>
    <w:basedOn w:val="2"/>
    <w:qFormat/>
    <w:uiPriority w:val="0"/>
    <w:pPr>
      <w:suppressAutoHyphens/>
      <w:spacing w:after="120"/>
      <w:jc w:val="both"/>
    </w:pPr>
    <w:rPr>
      <w:rFonts w:ascii="Times New Roman" w:hAnsi="Times New Roman" w:eastAsia="宋体"/>
      <w:b w:val="0"/>
      <w:w w:val="100"/>
      <w:kern w:val="1"/>
      <w:sz w:val="28"/>
      <w:lang w:eastAsia="ar-SA"/>
    </w:rPr>
  </w:style>
  <w:style w:type="paragraph" w:styleId="37">
    <w:name w:val="footnote text"/>
    <w:basedOn w:val="1"/>
    <w:link w:val="83"/>
    <w:qFormat/>
    <w:uiPriority w:val="0"/>
    <w:pPr>
      <w:suppressAutoHyphens/>
      <w:snapToGrid w:val="0"/>
      <w:spacing w:beforeLines="50" w:afterLines="50" w:line="300" w:lineRule="auto"/>
      <w:ind w:firstLine="200" w:firstLineChars="200"/>
      <w:jc w:val="left"/>
    </w:pPr>
    <w:rPr>
      <w:rFonts w:ascii="Arial" w:hAnsi="Arial"/>
      <w:kern w:val="24"/>
      <w:sz w:val="18"/>
      <w:szCs w:val="18"/>
      <w:lang w:eastAsia="ar-SA"/>
    </w:rPr>
  </w:style>
  <w:style w:type="paragraph" w:styleId="38">
    <w:name w:val="toc 6"/>
    <w:basedOn w:val="1"/>
    <w:next w:val="1"/>
    <w:qFormat/>
    <w:uiPriority w:val="0"/>
    <w:pPr>
      <w:ind w:left="1000" w:leftChars="1000"/>
    </w:pPr>
  </w:style>
  <w:style w:type="paragraph" w:styleId="39">
    <w:name w:val="Body Text Indent 3"/>
    <w:basedOn w:val="1"/>
    <w:link w:val="84"/>
    <w:qFormat/>
    <w:uiPriority w:val="0"/>
    <w:pPr>
      <w:ind w:left="645"/>
    </w:pPr>
    <w:rPr>
      <w:rFonts w:ascii="Arial" w:hAnsi="Arial" w:eastAsia="仿宋_GB2312"/>
      <w:sz w:val="32"/>
    </w:rPr>
  </w:style>
  <w:style w:type="paragraph" w:styleId="40">
    <w:name w:val="toc 2"/>
    <w:basedOn w:val="1"/>
    <w:next w:val="1"/>
    <w:qFormat/>
    <w:uiPriority w:val="39"/>
    <w:pPr>
      <w:ind w:left="200" w:leftChars="200"/>
      <w:jc w:val="center"/>
    </w:pPr>
    <w:rPr>
      <w:rFonts w:eastAsia="黑体"/>
      <w:b/>
      <w:bCs/>
      <w:sz w:val="30"/>
    </w:rPr>
  </w:style>
  <w:style w:type="paragraph" w:styleId="41">
    <w:name w:val="toc 9"/>
    <w:basedOn w:val="1"/>
    <w:next w:val="1"/>
    <w:qFormat/>
    <w:uiPriority w:val="0"/>
    <w:pPr>
      <w:ind w:left="1600" w:leftChars="1600"/>
    </w:pPr>
  </w:style>
  <w:style w:type="paragraph" w:styleId="42">
    <w:name w:val="Body Text 2"/>
    <w:basedOn w:val="1"/>
    <w:link w:val="85"/>
    <w:qFormat/>
    <w:uiPriority w:val="0"/>
    <w:pPr>
      <w:spacing w:beforeLines="50" w:afterLines="50" w:line="120" w:lineRule="auto"/>
    </w:pPr>
    <w:rPr>
      <w:rFonts w:ascii="宋体"/>
      <w:sz w:val="24"/>
    </w:rPr>
  </w:style>
  <w:style w:type="paragraph" w:styleId="43">
    <w:name w:val="Message Header"/>
    <w:basedOn w:val="1"/>
    <w:link w:val="8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4"/>
    </w:rPr>
  </w:style>
  <w:style w:type="paragraph" w:styleId="44">
    <w:name w:val="Normal (Web)"/>
    <w:basedOn w:val="1"/>
    <w:qFormat/>
    <w:uiPriority w:val="99"/>
    <w:pPr>
      <w:widowControl/>
      <w:spacing w:before="100" w:beforeAutospacing="1" w:after="100" w:afterAutospacing="1"/>
      <w:jc w:val="left"/>
    </w:pPr>
    <w:rPr>
      <w:rFonts w:ascii="宋体" w:cs="宋体"/>
      <w:kern w:val="0"/>
      <w:sz w:val="24"/>
      <w:szCs w:val="24"/>
    </w:rPr>
  </w:style>
  <w:style w:type="paragraph" w:styleId="45">
    <w:name w:val="index 1"/>
    <w:basedOn w:val="1"/>
    <w:next w:val="1"/>
    <w:link w:val="87"/>
    <w:qFormat/>
    <w:uiPriority w:val="0"/>
    <w:rPr>
      <w:szCs w:val="24"/>
    </w:rPr>
  </w:style>
  <w:style w:type="paragraph" w:styleId="46">
    <w:name w:val="Title"/>
    <w:basedOn w:val="1"/>
    <w:link w:val="88"/>
    <w:qFormat/>
    <w:uiPriority w:val="0"/>
    <w:pPr>
      <w:suppressAutoHyphens/>
      <w:spacing w:beforeLines="50" w:afterLines="50" w:line="300" w:lineRule="auto"/>
      <w:jc w:val="left"/>
      <w:outlineLvl w:val="0"/>
    </w:pPr>
    <w:rPr>
      <w:rFonts w:ascii="Arial" w:hAnsi="Arial" w:eastAsia="黑体"/>
      <w:b/>
      <w:bCs/>
      <w:kern w:val="24"/>
      <w:sz w:val="32"/>
      <w:szCs w:val="32"/>
      <w:lang w:eastAsia="ar-SA"/>
    </w:rPr>
  </w:style>
  <w:style w:type="paragraph" w:styleId="47">
    <w:name w:val="annotation subject"/>
    <w:basedOn w:val="19"/>
    <w:next w:val="19"/>
    <w:link w:val="89"/>
    <w:qFormat/>
    <w:uiPriority w:val="0"/>
    <w:rPr>
      <w:b/>
      <w:bCs/>
    </w:rPr>
  </w:style>
  <w:style w:type="paragraph" w:styleId="48">
    <w:name w:val="Body Text First Indent"/>
    <w:basedOn w:val="2"/>
    <w:link w:val="90"/>
    <w:qFormat/>
    <w:uiPriority w:val="0"/>
    <w:pPr>
      <w:spacing w:after="120"/>
      <w:ind w:firstLine="420" w:firstLineChars="100"/>
      <w:jc w:val="both"/>
    </w:pPr>
    <w:rPr>
      <w:rFonts w:ascii="Times New Roman" w:hAnsi="Times New Roman" w:eastAsia="宋体"/>
      <w:b w:val="0"/>
      <w:w w:val="100"/>
      <w:sz w:val="21"/>
    </w:rPr>
  </w:style>
  <w:style w:type="paragraph" w:styleId="49">
    <w:name w:val="Body Text First Indent 2"/>
    <w:basedOn w:val="21"/>
    <w:link w:val="91"/>
    <w:qFormat/>
    <w:uiPriority w:val="0"/>
    <w:pPr>
      <w:spacing w:after="120"/>
      <w:ind w:left="420" w:leftChars="200" w:firstLine="420" w:firstLineChars="200"/>
    </w:pPr>
    <w:rPr>
      <w:rFonts w:ascii="Calibri" w:hAnsi="Calibri" w:eastAsia="宋体"/>
      <w:sz w:val="21"/>
      <w:szCs w:val="24"/>
    </w:rPr>
  </w:style>
  <w:style w:type="table" w:styleId="51">
    <w:name w:val="Table Grid"/>
    <w:basedOn w:val="5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0"/>
    <w:rPr>
      <w:b/>
    </w:rPr>
  </w:style>
  <w:style w:type="character" w:styleId="54">
    <w:name w:val="endnote reference"/>
    <w:qFormat/>
    <w:uiPriority w:val="0"/>
    <w:rPr>
      <w:vertAlign w:val="superscript"/>
    </w:rPr>
  </w:style>
  <w:style w:type="character" w:styleId="55">
    <w:name w:val="page number"/>
    <w:qFormat/>
    <w:uiPriority w:val="0"/>
  </w:style>
  <w:style w:type="character" w:styleId="56">
    <w:name w:val="FollowedHyperlink"/>
    <w:qFormat/>
    <w:uiPriority w:val="0"/>
    <w:rPr>
      <w:color w:val="800080"/>
      <w:u w:val="single"/>
    </w:rPr>
  </w:style>
  <w:style w:type="character" w:styleId="57">
    <w:name w:val="HTML Variable"/>
    <w:qFormat/>
    <w:uiPriority w:val="0"/>
    <w:rPr>
      <w:rFonts w:ascii="仿宋_GB2312" w:eastAsia="仿宋_GB2312"/>
      <w:b/>
      <w:i/>
      <w:iCs/>
      <w:kern w:val="2"/>
      <w:sz w:val="32"/>
      <w:szCs w:val="32"/>
      <w:lang w:val="en-US" w:eastAsia="zh-CN" w:bidi="ar-SA"/>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styleId="60">
    <w:name w:val="footnote reference"/>
    <w:qFormat/>
    <w:uiPriority w:val="0"/>
    <w:rPr>
      <w:vertAlign w:val="superscript"/>
    </w:rPr>
  </w:style>
  <w:style w:type="character" w:customStyle="1" w:styleId="61">
    <w:name w:val="页眉 Char"/>
    <w:basedOn w:val="52"/>
    <w:link w:val="33"/>
    <w:qFormat/>
    <w:uiPriority w:val="99"/>
    <w:rPr>
      <w:sz w:val="18"/>
      <w:szCs w:val="18"/>
    </w:rPr>
  </w:style>
  <w:style w:type="character" w:customStyle="1" w:styleId="62">
    <w:name w:val="页脚 Char"/>
    <w:basedOn w:val="52"/>
    <w:link w:val="32"/>
    <w:qFormat/>
    <w:uiPriority w:val="99"/>
    <w:rPr>
      <w:sz w:val="18"/>
      <w:szCs w:val="18"/>
    </w:rPr>
  </w:style>
  <w:style w:type="character" w:customStyle="1" w:styleId="63">
    <w:name w:val="标题 1 Char"/>
    <w:basedOn w:val="52"/>
    <w:link w:val="3"/>
    <w:qFormat/>
    <w:uiPriority w:val="0"/>
    <w:rPr>
      <w:rFonts w:ascii="Arial" w:hAnsi="Arial" w:eastAsia="仿宋_GB2312" w:cs="Times New Roman"/>
      <w:sz w:val="28"/>
      <w:szCs w:val="20"/>
      <w:lang w:bidi="he-IL"/>
    </w:rPr>
  </w:style>
  <w:style w:type="character" w:customStyle="1" w:styleId="64">
    <w:name w:val="标题 2 Char1"/>
    <w:basedOn w:val="52"/>
    <w:link w:val="4"/>
    <w:qFormat/>
    <w:uiPriority w:val="0"/>
    <w:rPr>
      <w:rFonts w:ascii="Arial" w:hAnsi="Arial" w:eastAsia="黑体" w:cs="Times New Roman"/>
      <w:b/>
      <w:bCs/>
      <w:sz w:val="32"/>
      <w:szCs w:val="32"/>
    </w:rPr>
  </w:style>
  <w:style w:type="character" w:customStyle="1" w:styleId="65">
    <w:name w:val="标题 3 Char"/>
    <w:basedOn w:val="52"/>
    <w:link w:val="5"/>
    <w:qFormat/>
    <w:uiPriority w:val="0"/>
    <w:rPr>
      <w:rFonts w:ascii="Times New Roman" w:hAnsi="Times New Roman" w:eastAsia="宋体" w:cs="Times New Roman"/>
      <w:b/>
      <w:bCs/>
      <w:sz w:val="32"/>
      <w:szCs w:val="32"/>
    </w:rPr>
  </w:style>
  <w:style w:type="character" w:customStyle="1" w:styleId="66">
    <w:name w:val="标题 4 Char"/>
    <w:basedOn w:val="52"/>
    <w:link w:val="6"/>
    <w:qFormat/>
    <w:uiPriority w:val="0"/>
    <w:rPr>
      <w:rFonts w:ascii="Arial" w:hAnsi="Arial" w:eastAsia="黑体" w:cs="Times New Roman"/>
      <w:b/>
      <w:bCs/>
      <w:sz w:val="28"/>
      <w:szCs w:val="28"/>
    </w:rPr>
  </w:style>
  <w:style w:type="character" w:customStyle="1" w:styleId="67">
    <w:name w:val="标题 5 Char"/>
    <w:basedOn w:val="52"/>
    <w:link w:val="7"/>
    <w:qFormat/>
    <w:uiPriority w:val="9"/>
    <w:rPr>
      <w:rFonts w:ascii="Times New Roman" w:hAnsi="Times New Roman" w:eastAsia="宋体" w:cs="Times New Roman"/>
      <w:b/>
      <w:bCs/>
      <w:sz w:val="28"/>
      <w:szCs w:val="28"/>
    </w:rPr>
  </w:style>
  <w:style w:type="character" w:customStyle="1" w:styleId="68">
    <w:name w:val="标题 6 Char"/>
    <w:basedOn w:val="52"/>
    <w:link w:val="8"/>
    <w:qFormat/>
    <w:uiPriority w:val="0"/>
    <w:rPr>
      <w:rFonts w:ascii="Cambria" w:hAnsi="Cambria" w:eastAsia="宋体" w:cs="Times New Roman"/>
      <w:b/>
      <w:bCs/>
      <w:sz w:val="24"/>
      <w:szCs w:val="24"/>
    </w:rPr>
  </w:style>
  <w:style w:type="character" w:customStyle="1" w:styleId="69">
    <w:name w:val="标题 7 Char"/>
    <w:basedOn w:val="52"/>
    <w:link w:val="9"/>
    <w:qFormat/>
    <w:uiPriority w:val="0"/>
    <w:rPr>
      <w:rFonts w:ascii="Times New Roman" w:hAnsi="Times New Roman" w:eastAsia="宋体" w:cs="Times New Roman"/>
      <w:b/>
      <w:bCs/>
      <w:sz w:val="24"/>
      <w:szCs w:val="24"/>
    </w:rPr>
  </w:style>
  <w:style w:type="character" w:customStyle="1" w:styleId="70">
    <w:name w:val="标题 8 Char"/>
    <w:basedOn w:val="52"/>
    <w:link w:val="10"/>
    <w:qFormat/>
    <w:uiPriority w:val="0"/>
    <w:rPr>
      <w:rFonts w:ascii="Arial" w:hAnsi="Arial" w:eastAsia="黑体" w:cs="Times New Roman"/>
      <w:sz w:val="24"/>
      <w:szCs w:val="24"/>
    </w:rPr>
  </w:style>
  <w:style w:type="character" w:customStyle="1" w:styleId="71">
    <w:name w:val="标题 9 Char"/>
    <w:basedOn w:val="52"/>
    <w:link w:val="11"/>
    <w:qFormat/>
    <w:uiPriority w:val="0"/>
    <w:rPr>
      <w:rFonts w:ascii="Arial" w:hAnsi="Arial" w:eastAsia="黑体" w:cs="Times New Roman"/>
      <w:szCs w:val="21"/>
    </w:rPr>
  </w:style>
  <w:style w:type="character" w:customStyle="1" w:styleId="72">
    <w:name w:val="注释标题 Char"/>
    <w:basedOn w:val="52"/>
    <w:link w:val="13"/>
    <w:qFormat/>
    <w:uiPriority w:val="0"/>
    <w:rPr>
      <w:rFonts w:ascii="Times New Roman" w:hAnsi="Times New Roman" w:eastAsia="宋体" w:cs="Times New Roman"/>
      <w:szCs w:val="20"/>
    </w:rPr>
  </w:style>
  <w:style w:type="character" w:customStyle="1" w:styleId="73">
    <w:name w:val="正文缩进 Char"/>
    <w:link w:val="14"/>
    <w:qFormat/>
    <w:uiPriority w:val="0"/>
    <w:rPr>
      <w:rFonts w:ascii="Times New Roman" w:hAnsi="Times New Roman" w:eastAsia="宋体" w:cs="Times New Roman"/>
      <w:sz w:val="24"/>
      <w:szCs w:val="24"/>
    </w:rPr>
  </w:style>
  <w:style w:type="character" w:customStyle="1" w:styleId="74">
    <w:name w:val="文档结构图 Char"/>
    <w:basedOn w:val="52"/>
    <w:link w:val="17"/>
    <w:qFormat/>
    <w:uiPriority w:val="0"/>
    <w:rPr>
      <w:rFonts w:ascii="宋体" w:hAnsi="Times New Roman" w:eastAsia="宋体" w:cs="Times New Roman"/>
      <w:sz w:val="18"/>
      <w:szCs w:val="18"/>
    </w:rPr>
  </w:style>
  <w:style w:type="character" w:customStyle="1" w:styleId="75">
    <w:name w:val="批注文字 Char"/>
    <w:basedOn w:val="52"/>
    <w:link w:val="19"/>
    <w:qFormat/>
    <w:uiPriority w:val="99"/>
    <w:rPr>
      <w:rFonts w:ascii="Times New Roman" w:hAnsi="Times New Roman" w:eastAsia="宋体" w:cs="Times New Roman"/>
      <w:szCs w:val="20"/>
    </w:rPr>
  </w:style>
  <w:style w:type="character" w:customStyle="1" w:styleId="76">
    <w:name w:val="正文文本 Char1"/>
    <w:basedOn w:val="52"/>
    <w:link w:val="2"/>
    <w:qFormat/>
    <w:uiPriority w:val="99"/>
    <w:rPr>
      <w:rFonts w:ascii="Arial" w:hAnsi="Arial" w:eastAsia="隶书" w:cs="Times New Roman"/>
      <w:b/>
      <w:w w:val="90"/>
      <w:sz w:val="44"/>
      <w:szCs w:val="24"/>
    </w:rPr>
  </w:style>
  <w:style w:type="character" w:customStyle="1" w:styleId="77">
    <w:name w:val="正文文本缩进 Char"/>
    <w:basedOn w:val="52"/>
    <w:link w:val="21"/>
    <w:qFormat/>
    <w:uiPriority w:val="0"/>
    <w:rPr>
      <w:rFonts w:ascii="楷体_GB2312" w:hAnsi="Times New Roman" w:eastAsia="楷体_GB2312" w:cs="Times New Roman"/>
      <w:sz w:val="32"/>
      <w:szCs w:val="20"/>
    </w:rPr>
  </w:style>
  <w:style w:type="character" w:customStyle="1" w:styleId="78">
    <w:name w:val="纯文本 Char"/>
    <w:basedOn w:val="52"/>
    <w:link w:val="26"/>
    <w:qFormat/>
    <w:uiPriority w:val="0"/>
    <w:rPr>
      <w:rFonts w:ascii="宋体" w:hAnsi="Times New Roman" w:eastAsia="宋体" w:cs="Times New Roman"/>
      <w:szCs w:val="20"/>
    </w:rPr>
  </w:style>
  <w:style w:type="character" w:customStyle="1" w:styleId="79">
    <w:name w:val="日期 Char1"/>
    <w:basedOn w:val="52"/>
    <w:link w:val="28"/>
    <w:qFormat/>
    <w:uiPriority w:val="0"/>
    <w:rPr>
      <w:rFonts w:ascii="Times New Roman" w:hAnsi="Times New Roman" w:eastAsia="宋体" w:cs="Times New Roman"/>
      <w:szCs w:val="20"/>
    </w:rPr>
  </w:style>
  <w:style w:type="character" w:customStyle="1" w:styleId="80">
    <w:name w:val="正文文本缩进 2 Char"/>
    <w:basedOn w:val="52"/>
    <w:link w:val="29"/>
    <w:qFormat/>
    <w:uiPriority w:val="0"/>
    <w:rPr>
      <w:rFonts w:ascii="Arial" w:hAnsi="Arial" w:eastAsia="仿宋_GB2312" w:cs="Times New Roman"/>
      <w:sz w:val="32"/>
      <w:szCs w:val="20"/>
    </w:rPr>
  </w:style>
  <w:style w:type="character" w:customStyle="1" w:styleId="81">
    <w:name w:val="尾注文本 Char"/>
    <w:basedOn w:val="52"/>
    <w:link w:val="30"/>
    <w:qFormat/>
    <w:uiPriority w:val="0"/>
    <w:rPr>
      <w:rFonts w:ascii="Arial" w:hAnsi="Arial" w:eastAsia="宋体" w:cs="Times New Roman"/>
      <w:kern w:val="24"/>
      <w:sz w:val="24"/>
      <w:szCs w:val="24"/>
      <w:lang w:eastAsia="ar-SA"/>
    </w:rPr>
  </w:style>
  <w:style w:type="character" w:customStyle="1" w:styleId="82">
    <w:name w:val="批注框文本 Char"/>
    <w:basedOn w:val="52"/>
    <w:link w:val="31"/>
    <w:qFormat/>
    <w:uiPriority w:val="99"/>
    <w:rPr>
      <w:rFonts w:ascii="Times New Roman" w:hAnsi="Times New Roman" w:eastAsia="宋体" w:cs="Times New Roman"/>
      <w:sz w:val="18"/>
      <w:szCs w:val="18"/>
    </w:rPr>
  </w:style>
  <w:style w:type="character" w:customStyle="1" w:styleId="83">
    <w:name w:val="脚注文本 Char"/>
    <w:basedOn w:val="52"/>
    <w:link w:val="37"/>
    <w:qFormat/>
    <w:uiPriority w:val="0"/>
    <w:rPr>
      <w:rFonts w:ascii="Arial" w:hAnsi="Arial" w:eastAsia="宋体" w:cs="Times New Roman"/>
      <w:kern w:val="24"/>
      <w:sz w:val="18"/>
      <w:szCs w:val="18"/>
      <w:lang w:eastAsia="ar-SA"/>
    </w:rPr>
  </w:style>
  <w:style w:type="character" w:customStyle="1" w:styleId="84">
    <w:name w:val="正文文本缩进 3 Char"/>
    <w:basedOn w:val="52"/>
    <w:link w:val="39"/>
    <w:qFormat/>
    <w:uiPriority w:val="0"/>
    <w:rPr>
      <w:rFonts w:ascii="Arial" w:hAnsi="Arial" w:eastAsia="仿宋_GB2312" w:cs="Times New Roman"/>
      <w:sz w:val="32"/>
      <w:szCs w:val="20"/>
    </w:rPr>
  </w:style>
  <w:style w:type="character" w:customStyle="1" w:styleId="85">
    <w:name w:val="正文文本 2 Char"/>
    <w:basedOn w:val="52"/>
    <w:link w:val="42"/>
    <w:qFormat/>
    <w:uiPriority w:val="0"/>
    <w:rPr>
      <w:rFonts w:ascii="宋体" w:hAnsi="Times New Roman" w:eastAsia="宋体" w:cs="Times New Roman"/>
      <w:sz w:val="24"/>
      <w:szCs w:val="20"/>
    </w:rPr>
  </w:style>
  <w:style w:type="character" w:customStyle="1" w:styleId="86">
    <w:name w:val="信息标题 Char"/>
    <w:basedOn w:val="52"/>
    <w:link w:val="43"/>
    <w:qFormat/>
    <w:uiPriority w:val="0"/>
    <w:rPr>
      <w:rFonts w:ascii="Arial" w:hAnsi="Arial" w:eastAsia="宋体" w:cs="Times New Roman"/>
      <w:sz w:val="24"/>
      <w:szCs w:val="24"/>
      <w:shd w:val="pct20" w:color="auto" w:fill="auto"/>
    </w:rPr>
  </w:style>
  <w:style w:type="character" w:customStyle="1" w:styleId="87">
    <w:name w:val="索引 1 Char"/>
    <w:link w:val="45"/>
    <w:qFormat/>
    <w:uiPriority w:val="0"/>
    <w:rPr>
      <w:rFonts w:ascii="Times New Roman" w:hAnsi="Times New Roman" w:eastAsia="宋体" w:cs="Times New Roman"/>
      <w:szCs w:val="24"/>
    </w:rPr>
  </w:style>
  <w:style w:type="character" w:customStyle="1" w:styleId="88">
    <w:name w:val="标题 Char"/>
    <w:basedOn w:val="52"/>
    <w:link w:val="46"/>
    <w:qFormat/>
    <w:uiPriority w:val="0"/>
    <w:rPr>
      <w:rFonts w:ascii="Arial" w:hAnsi="Arial" w:eastAsia="黑体" w:cs="Times New Roman"/>
      <w:b/>
      <w:bCs/>
      <w:kern w:val="24"/>
      <w:sz w:val="32"/>
      <w:szCs w:val="32"/>
      <w:lang w:eastAsia="ar-SA"/>
    </w:rPr>
  </w:style>
  <w:style w:type="character" w:customStyle="1" w:styleId="89">
    <w:name w:val="批注主题 Char"/>
    <w:basedOn w:val="75"/>
    <w:link w:val="47"/>
    <w:qFormat/>
    <w:uiPriority w:val="0"/>
    <w:rPr>
      <w:rFonts w:ascii="Times New Roman" w:hAnsi="Times New Roman" w:eastAsia="宋体" w:cs="Times New Roman"/>
      <w:b/>
      <w:bCs/>
      <w:szCs w:val="20"/>
    </w:rPr>
  </w:style>
  <w:style w:type="character" w:customStyle="1" w:styleId="90">
    <w:name w:val="正文首行缩进 Char"/>
    <w:basedOn w:val="76"/>
    <w:link w:val="48"/>
    <w:qFormat/>
    <w:uiPriority w:val="0"/>
    <w:rPr>
      <w:rFonts w:ascii="Times New Roman" w:hAnsi="Times New Roman" w:eastAsia="宋体" w:cs="Times New Roman"/>
      <w:b w:val="0"/>
      <w:w w:val="90"/>
      <w:sz w:val="44"/>
      <w:szCs w:val="24"/>
    </w:rPr>
  </w:style>
  <w:style w:type="character" w:customStyle="1" w:styleId="91">
    <w:name w:val="正文首行缩进 2 Char"/>
    <w:basedOn w:val="77"/>
    <w:link w:val="49"/>
    <w:qFormat/>
    <w:uiPriority w:val="0"/>
    <w:rPr>
      <w:rFonts w:ascii="Calibri" w:hAnsi="Calibri" w:eastAsia="宋体" w:cs="Times New Roman"/>
      <w:sz w:val="32"/>
      <w:szCs w:val="24"/>
    </w:rPr>
  </w:style>
  <w:style w:type="paragraph" w:customStyle="1" w:styleId="92">
    <w:name w:val="Char Char1 Char Char Char Char"/>
    <w:basedOn w:val="1"/>
    <w:semiHidden/>
    <w:qFormat/>
    <w:uiPriority w:val="0"/>
    <w:rPr>
      <w:rFonts w:ascii="Verdana" w:hAnsi="Verdana" w:eastAsia="Times New Roman"/>
      <w:kern w:val="0"/>
      <w:sz w:val="20"/>
      <w:lang w:eastAsia="en-US"/>
    </w:rPr>
  </w:style>
  <w:style w:type="character" w:customStyle="1" w:styleId="93">
    <w:name w:val="正文文本 Char"/>
    <w:semiHidden/>
    <w:qFormat/>
    <w:uiPriority w:val="99"/>
    <w:rPr>
      <w:rFonts w:ascii="Calibri" w:hAnsi="Calibri" w:eastAsia="宋体"/>
      <w:kern w:val="2"/>
      <w:sz w:val="28"/>
      <w:szCs w:val="22"/>
    </w:rPr>
  </w:style>
  <w:style w:type="character" w:customStyle="1" w:styleId="94">
    <w:name w:val="*Heading 3 Char"/>
    <w:qFormat/>
    <w:uiPriority w:val="0"/>
    <w:rPr>
      <w:rFonts w:ascii="Verdana" w:hAnsi="Verdana" w:eastAsia="宋体"/>
      <w:b/>
      <w:sz w:val="24"/>
      <w:szCs w:val="24"/>
      <w:lang w:val="en-US" w:eastAsia="en-US" w:bidi="ar-SA"/>
    </w:rPr>
  </w:style>
  <w:style w:type="character" w:customStyle="1" w:styleId="95">
    <w:name w:val="样式2 Char Char"/>
    <w:link w:val="96"/>
    <w:qFormat/>
    <w:uiPriority w:val="0"/>
    <w:rPr>
      <w:rFonts w:ascii="宋体" w:hAnsi="宋体"/>
      <w:sz w:val="24"/>
      <w:szCs w:val="24"/>
    </w:rPr>
  </w:style>
  <w:style w:type="paragraph" w:customStyle="1" w:styleId="96">
    <w:name w:val="样式2"/>
    <w:basedOn w:val="45"/>
    <w:link w:val="95"/>
    <w:qFormat/>
    <w:uiPriority w:val="0"/>
    <w:pPr>
      <w:tabs>
        <w:tab w:val="left" w:pos="360"/>
      </w:tabs>
      <w:spacing w:line="360" w:lineRule="auto"/>
      <w:ind w:left="360" w:hanging="360"/>
      <w:jc w:val="center"/>
    </w:pPr>
    <w:rPr>
      <w:rFonts w:ascii="宋体" w:hAnsi="宋体" w:eastAsiaTheme="minorEastAsia" w:cstheme="minorBidi"/>
      <w:sz w:val="24"/>
    </w:rPr>
  </w:style>
  <w:style w:type="character" w:customStyle="1" w:styleId="97">
    <w:name w:val="样式2 Char"/>
    <w:qFormat/>
    <w:uiPriority w:val="0"/>
    <w:rPr>
      <w:rFonts w:ascii="宋体" w:hAnsi="宋体" w:eastAsia="宋体"/>
      <w:kern w:val="2"/>
      <w:sz w:val="24"/>
      <w:szCs w:val="24"/>
      <w:lang w:val="en-US" w:eastAsia="zh-CN" w:bidi="ar-SA"/>
    </w:rPr>
  </w:style>
  <w:style w:type="character" w:customStyle="1" w:styleId="98">
    <w:name w:val="Char Char1"/>
    <w:qFormat/>
    <w:uiPriority w:val="0"/>
    <w:rPr>
      <w:rFonts w:ascii="Calibri" w:hAnsi="Calibri" w:eastAsia="宋体" w:cs="Times New Roman"/>
      <w:sz w:val="18"/>
      <w:szCs w:val="18"/>
      <w:lang w:bidi="ar-SA"/>
    </w:rPr>
  </w:style>
  <w:style w:type="character" w:customStyle="1" w:styleId="99">
    <w:name w:val="article1"/>
    <w:qFormat/>
    <w:uiPriority w:val="0"/>
    <w:rPr>
      <w:sz w:val="22"/>
      <w:szCs w:val="22"/>
    </w:rPr>
  </w:style>
  <w:style w:type="character" w:customStyle="1" w:styleId="100">
    <w:name w:val="无"/>
    <w:qFormat/>
    <w:uiPriority w:val="0"/>
  </w:style>
  <w:style w:type="character" w:customStyle="1" w:styleId="101">
    <w:name w:val="content021"/>
    <w:qFormat/>
    <w:uiPriority w:val="0"/>
    <w:rPr>
      <w:color w:val="444444"/>
      <w:sz w:val="21"/>
      <w:szCs w:val="21"/>
      <w:u w:val="none"/>
    </w:rPr>
  </w:style>
  <w:style w:type="character" w:customStyle="1" w:styleId="102">
    <w:name w:val="h Char1"/>
    <w:qFormat/>
    <w:uiPriority w:val="0"/>
    <w:rPr>
      <w:rFonts w:eastAsia="宋体"/>
      <w:kern w:val="2"/>
      <w:sz w:val="18"/>
      <w:lang w:val="en-US" w:eastAsia="zh-CN" w:bidi="ar-SA"/>
    </w:rPr>
  </w:style>
  <w:style w:type="character" w:customStyle="1" w:styleId="103">
    <w:name w:val="标题 #2_"/>
    <w:link w:val="104"/>
    <w:qFormat/>
    <w:uiPriority w:val="0"/>
    <w:rPr>
      <w:rFonts w:ascii="宋体"/>
      <w:b/>
      <w:bCs/>
      <w:sz w:val="23"/>
      <w:szCs w:val="23"/>
      <w:shd w:val="clear" w:color="auto" w:fill="FFFFFF"/>
    </w:rPr>
  </w:style>
  <w:style w:type="paragraph" w:customStyle="1" w:styleId="104">
    <w:name w:val="标题 #21"/>
    <w:basedOn w:val="1"/>
    <w:link w:val="103"/>
    <w:qFormat/>
    <w:uiPriority w:val="0"/>
    <w:pPr>
      <w:shd w:val="clear" w:color="auto" w:fill="FFFFFF"/>
      <w:spacing w:before="900" w:after="240" w:line="240" w:lineRule="atLeast"/>
      <w:ind w:hanging="480"/>
      <w:jc w:val="left"/>
      <w:outlineLvl w:val="1"/>
    </w:pPr>
    <w:rPr>
      <w:rFonts w:ascii="宋体" w:hAnsiTheme="minorHAnsi" w:eastAsiaTheme="minorEastAsia" w:cstheme="minorBidi"/>
      <w:b/>
      <w:bCs/>
      <w:sz w:val="23"/>
      <w:szCs w:val="23"/>
    </w:rPr>
  </w:style>
  <w:style w:type="character" w:customStyle="1" w:styleId="105">
    <w:name w:val="信息标题 Char1"/>
    <w:semiHidden/>
    <w:qFormat/>
    <w:uiPriority w:val="99"/>
    <w:rPr>
      <w:rFonts w:ascii="Cambria" w:hAnsi="Cambria" w:eastAsia="宋体" w:cs="Times New Roman"/>
      <w:kern w:val="2"/>
      <w:sz w:val="24"/>
      <w:szCs w:val="24"/>
      <w:shd w:val="pct20" w:color="auto" w:fill="auto"/>
    </w:rPr>
  </w:style>
  <w:style w:type="character" w:customStyle="1" w:styleId="106">
    <w:name w:val="样式 标题 2h2Heading 2 HiddenHeading 2 CCBSheading 2第一章 标题 2H2... Char"/>
    <w:qFormat/>
    <w:uiPriority w:val="0"/>
    <w:rPr>
      <w:rFonts w:ascii="宋体" w:hAnsi="宋体" w:eastAsia="宋体"/>
      <w:b/>
      <w:bCs/>
      <w:kern w:val="36"/>
      <w:sz w:val="32"/>
      <w:lang w:bidi="ar-SA"/>
    </w:rPr>
  </w:style>
  <w:style w:type="character" w:customStyle="1" w:styleId="107">
    <w:name w:val="尾注文本 Char1"/>
    <w:qFormat/>
    <w:uiPriority w:val="0"/>
    <w:rPr>
      <w:kern w:val="2"/>
      <w:sz w:val="21"/>
    </w:rPr>
  </w:style>
  <w:style w:type="character" w:customStyle="1" w:styleId="108">
    <w:name w:val="*Body Text Char1"/>
    <w:link w:val="109"/>
    <w:qFormat/>
    <w:uiPriority w:val="0"/>
    <w:rPr>
      <w:rFonts w:ascii="Futura Lt" w:hAnsi="Futura Lt"/>
      <w:lang w:eastAsia="en-US"/>
    </w:rPr>
  </w:style>
  <w:style w:type="paragraph" w:customStyle="1" w:styleId="109">
    <w:name w:val="*Body Text"/>
    <w:link w:val="108"/>
    <w:qFormat/>
    <w:uiPriority w:val="0"/>
    <w:pPr>
      <w:spacing w:line="360" w:lineRule="auto"/>
    </w:pPr>
    <w:rPr>
      <w:rFonts w:ascii="Futura Lt" w:hAnsi="Futura Lt" w:eastAsiaTheme="minorEastAsia" w:cstheme="minorBidi"/>
      <w:kern w:val="2"/>
      <w:sz w:val="21"/>
      <w:szCs w:val="22"/>
      <w:lang w:val="en-US" w:eastAsia="en-US" w:bidi="ar-SA"/>
    </w:rPr>
  </w:style>
  <w:style w:type="character" w:customStyle="1" w:styleId="110">
    <w:name w:val="日期 Char"/>
    <w:qFormat/>
    <w:uiPriority w:val="0"/>
    <w:rPr>
      <w:rFonts w:ascii="Times New Roman" w:hAnsi="Times New Roman"/>
      <w:sz w:val="24"/>
    </w:rPr>
  </w:style>
  <w:style w:type="character" w:customStyle="1" w:styleId="111">
    <w:name w:val="样式 标题 2h2Heading 2 HiddenHeading 2 CCBSheading 2第一章 标题 2H2... Char Char"/>
    <w:link w:val="112"/>
    <w:qFormat/>
    <w:uiPriority w:val="0"/>
    <w:rPr>
      <w:rFonts w:ascii="宋体" w:hAnsi="宋体" w:eastAsia="黑体"/>
      <w:b/>
      <w:bCs/>
      <w:kern w:val="36"/>
      <w:sz w:val="32"/>
      <w:szCs w:val="24"/>
      <w:lang w:eastAsia="ar-SA"/>
    </w:rPr>
  </w:style>
  <w:style w:type="paragraph" w:customStyle="1" w:styleId="112">
    <w:name w:val="样式 标题 2h2Heading 2 HiddenHeading 2 CCBSheading 2第一章 标题 2H2..."/>
    <w:basedOn w:val="4"/>
    <w:link w:val="111"/>
    <w:qFormat/>
    <w:uiPriority w:val="0"/>
    <w:pPr>
      <w:tabs>
        <w:tab w:val="left" w:pos="567"/>
      </w:tabs>
      <w:suppressAutoHyphens/>
      <w:spacing w:beforeLines="46" w:afterLines="46" w:line="300" w:lineRule="auto"/>
      <w:ind w:left="567" w:right="100" w:rightChars="100" w:hanging="567"/>
    </w:pPr>
    <w:rPr>
      <w:rFonts w:ascii="宋体" w:hAnsi="宋体" w:cstheme="minorBidi"/>
      <w:kern w:val="36"/>
      <w:szCs w:val="24"/>
      <w:lang w:eastAsia="ar-SA"/>
    </w:rPr>
  </w:style>
  <w:style w:type="character" w:customStyle="1" w:styleId="113">
    <w:name w:val="z-窗体顶端 字符"/>
    <w:link w:val="114"/>
    <w:qFormat/>
    <w:uiPriority w:val="34"/>
    <w:rPr>
      <w:sz w:val="28"/>
    </w:rPr>
  </w:style>
  <w:style w:type="paragraph" w:customStyle="1" w:styleId="114">
    <w:name w:val="z-窗体顶端1"/>
    <w:basedOn w:val="1"/>
    <w:link w:val="113"/>
    <w:qFormat/>
    <w:uiPriority w:val="34"/>
    <w:pPr>
      <w:ind w:firstLine="420" w:firstLineChars="200"/>
    </w:pPr>
    <w:rPr>
      <w:rFonts w:asciiTheme="minorHAnsi" w:hAnsiTheme="minorHAnsi" w:eastAsiaTheme="minorEastAsia" w:cstheme="minorBidi"/>
      <w:sz w:val="28"/>
      <w:szCs w:val="22"/>
    </w:rPr>
  </w:style>
  <w:style w:type="character" w:customStyle="1" w:styleId="115">
    <w:name w:val="z-窗体顶端 字符1"/>
    <w:basedOn w:val="52"/>
    <w:semiHidden/>
    <w:qFormat/>
    <w:uiPriority w:val="99"/>
    <w:rPr>
      <w:rFonts w:ascii="Arial" w:hAnsi="Arial" w:eastAsia="宋体" w:cs="Arial"/>
      <w:vanish/>
      <w:sz w:val="16"/>
      <w:szCs w:val="16"/>
    </w:rPr>
  </w:style>
  <w:style w:type="character" w:customStyle="1" w:styleId="116">
    <w:name w:val="引用文字"/>
    <w:qFormat/>
    <w:uiPriority w:val="0"/>
    <w:rPr>
      <w:rFonts w:eastAsia="宋体"/>
      <w:i/>
      <w:sz w:val="24"/>
      <w:lang w:eastAsia="zh-CN"/>
    </w:rPr>
  </w:style>
  <w:style w:type="character" w:customStyle="1" w:styleId="117">
    <w:name w:val="样式1 Char"/>
    <w:qFormat/>
    <w:uiPriority w:val="0"/>
    <w:rPr>
      <w:rFonts w:eastAsia="宋体"/>
      <w:kern w:val="2"/>
      <w:sz w:val="24"/>
      <w:szCs w:val="24"/>
      <w:lang w:val="en-US" w:eastAsia="zh-CN" w:bidi="ar-SA"/>
    </w:rPr>
  </w:style>
  <w:style w:type="character" w:customStyle="1" w:styleId="118">
    <w:name w:val="Table Text Char"/>
    <w:qFormat/>
    <w:locked/>
    <w:uiPriority w:val="0"/>
    <w:rPr>
      <w:rFonts w:ascii="Arial" w:hAnsi="Arial" w:cs="Arial"/>
      <w:b/>
      <w:kern w:val="2"/>
      <w:sz w:val="18"/>
      <w:szCs w:val="18"/>
      <w:lang w:val="en-US" w:eastAsia="zh-CN" w:bidi="ar-SA"/>
    </w:rPr>
  </w:style>
  <w:style w:type="character" w:customStyle="1" w:styleId="119">
    <w:name w:val="标题 3 Char Char Char"/>
    <w:link w:val="120"/>
    <w:qFormat/>
    <w:uiPriority w:val="0"/>
    <w:rPr>
      <w:rFonts w:ascii="Arial" w:hAnsi="Arial" w:eastAsia="黑体"/>
      <w:b/>
      <w:kern w:val="32"/>
      <w:sz w:val="28"/>
    </w:rPr>
  </w:style>
  <w:style w:type="paragraph" w:customStyle="1" w:styleId="120">
    <w:name w:val="标题 31"/>
    <w:next w:val="121"/>
    <w:link w:val="119"/>
    <w:qFormat/>
    <w:uiPriority w:val="0"/>
    <w:pPr>
      <w:keepNext/>
      <w:keepLines/>
      <w:numPr>
        <w:ilvl w:val="2"/>
        <w:numId w:val="4"/>
      </w:numPr>
      <w:spacing w:beforeLines="10" w:afterLines="10"/>
      <w:ind w:right="240" w:rightChars="100"/>
      <w:outlineLvl w:val="2"/>
    </w:pPr>
    <w:rPr>
      <w:rFonts w:ascii="Arial" w:hAnsi="Arial" w:eastAsia="黑体" w:cstheme="minorBidi"/>
      <w:b/>
      <w:kern w:val="32"/>
      <w:sz w:val="28"/>
      <w:szCs w:val="22"/>
      <w:lang w:val="en-US" w:eastAsia="zh-CN" w:bidi="ar-SA"/>
    </w:rPr>
  </w:style>
  <w:style w:type="paragraph" w:customStyle="1" w:styleId="121">
    <w:name w:val="标题 41"/>
    <w:next w:val="1"/>
    <w:qFormat/>
    <w:uiPriority w:val="0"/>
    <w:pPr>
      <w:keepNext/>
      <w:keepLines/>
      <w:numPr>
        <w:ilvl w:val="3"/>
        <w:numId w:val="4"/>
      </w:numPr>
      <w:spacing w:line="372" w:lineRule="auto"/>
      <w:outlineLvl w:val="3"/>
    </w:pPr>
    <w:rPr>
      <w:rFonts w:hint="eastAsia" w:ascii="Arial" w:hAnsi="Arial" w:eastAsia="黑体" w:cs="Times New Roman"/>
      <w:b/>
      <w:kern w:val="28"/>
      <w:sz w:val="28"/>
      <w:lang w:val="en-US" w:eastAsia="zh-CN" w:bidi="ar-SA"/>
    </w:rPr>
  </w:style>
  <w:style w:type="character" w:customStyle="1" w:styleId="122">
    <w:name w:val="标题 2 Char"/>
    <w:qFormat/>
    <w:uiPriority w:val="0"/>
    <w:rPr>
      <w:rFonts w:ascii="Cambria" w:hAnsi="Cambria"/>
      <w:b/>
      <w:bCs/>
      <w:kern w:val="2"/>
      <w:sz w:val="32"/>
      <w:szCs w:val="32"/>
    </w:rPr>
  </w:style>
  <w:style w:type="character" w:customStyle="1" w:styleId="123">
    <w:name w:val="*Heading 3 Char Char"/>
    <w:link w:val="124"/>
    <w:qFormat/>
    <w:uiPriority w:val="0"/>
    <w:rPr>
      <w:rFonts w:ascii="Verdana" w:hAnsi="Verdana"/>
      <w:b/>
      <w:sz w:val="24"/>
      <w:szCs w:val="24"/>
      <w:lang w:eastAsia="en-US"/>
    </w:rPr>
  </w:style>
  <w:style w:type="paragraph" w:customStyle="1" w:styleId="124">
    <w:name w:val="*Heading 3"/>
    <w:next w:val="1"/>
    <w:link w:val="123"/>
    <w:qFormat/>
    <w:uiPriority w:val="0"/>
    <w:pPr>
      <w:keepNext/>
      <w:keepLines/>
      <w:spacing w:before="120" w:after="120" w:line="360" w:lineRule="auto"/>
      <w:ind w:left="240" w:leftChars="100" w:right="100" w:rightChars="100"/>
      <w:outlineLvl w:val="3"/>
    </w:pPr>
    <w:rPr>
      <w:rFonts w:ascii="Verdana" w:hAnsi="Verdana" w:eastAsiaTheme="minorEastAsia" w:cstheme="minorBidi"/>
      <w:b/>
      <w:kern w:val="2"/>
      <w:sz w:val="24"/>
      <w:szCs w:val="24"/>
      <w:lang w:val="en-US" w:eastAsia="en-US" w:bidi="ar-SA"/>
    </w:rPr>
  </w:style>
  <w:style w:type="character" w:customStyle="1" w:styleId="125">
    <w:name w:val="正文缩进1 Char"/>
    <w:qFormat/>
    <w:uiPriority w:val="0"/>
    <w:rPr>
      <w:rFonts w:eastAsia="宋体"/>
      <w:kern w:val="2"/>
      <w:sz w:val="21"/>
      <w:lang w:val="en-US" w:eastAsia="zh-CN" w:bidi="ar-SA"/>
    </w:rPr>
  </w:style>
  <w:style w:type="character" w:customStyle="1" w:styleId="126">
    <w:name w:val="apple-converted-space"/>
    <w:qFormat/>
    <w:uiPriority w:val="0"/>
    <w:rPr>
      <w:rFonts w:cs="Times New Roman"/>
    </w:rPr>
  </w:style>
  <w:style w:type="character" w:customStyle="1" w:styleId="127">
    <w:name w:val="样式1 Char Char"/>
    <w:link w:val="128"/>
    <w:qFormat/>
    <w:uiPriority w:val="0"/>
    <w:rPr>
      <w:sz w:val="24"/>
      <w:szCs w:val="24"/>
    </w:rPr>
  </w:style>
  <w:style w:type="paragraph" w:customStyle="1" w:styleId="128">
    <w:name w:val="样式1"/>
    <w:basedOn w:val="48"/>
    <w:link w:val="127"/>
    <w:qFormat/>
    <w:uiPriority w:val="0"/>
    <w:pPr>
      <w:spacing w:line="300" w:lineRule="auto"/>
      <w:ind w:firstLine="480" w:firstLineChars="200"/>
    </w:pPr>
    <w:rPr>
      <w:rFonts w:asciiTheme="minorHAnsi" w:hAnsiTheme="minorHAnsi" w:eastAsiaTheme="minorEastAsia" w:cstheme="minorBidi"/>
      <w:sz w:val="24"/>
    </w:rPr>
  </w:style>
  <w:style w:type="character" w:customStyle="1" w:styleId="129">
    <w:name w:val="样式 样式 正文首行缩进 + 首行缩进:  2 字符 + (中文) PMingLiU Char Char Char Char Char Char Char Char Char"/>
    <w:qFormat/>
    <w:uiPriority w:val="0"/>
    <w:rPr>
      <w:rFonts w:ascii="Tahoma" w:hAnsi="Tahoma" w:eastAsia="宋体" w:cs="宋体"/>
      <w:kern w:val="2"/>
      <w:sz w:val="21"/>
      <w:szCs w:val="24"/>
      <w:lang w:val="en-US" w:eastAsia="zh-CN" w:bidi="ar-SA"/>
    </w:rPr>
  </w:style>
  <w:style w:type="character" w:customStyle="1" w:styleId="130">
    <w:name w:val="正文首行缩进 Char1"/>
    <w:qFormat/>
    <w:uiPriority w:val="0"/>
  </w:style>
  <w:style w:type="character" w:customStyle="1" w:styleId="131">
    <w:name w:val="脚注文本 Char1"/>
    <w:qFormat/>
    <w:uiPriority w:val="0"/>
    <w:rPr>
      <w:kern w:val="2"/>
      <w:sz w:val="18"/>
      <w:szCs w:val="18"/>
    </w:rPr>
  </w:style>
  <w:style w:type="character" w:customStyle="1" w:styleId="132">
    <w:name w:val="信息标题 Char2"/>
    <w:qFormat/>
    <w:uiPriority w:val="0"/>
    <w:rPr>
      <w:rFonts w:ascii="Cambria" w:hAnsi="Cambria" w:eastAsia="宋体" w:cs="Times New Roman"/>
      <w:kern w:val="2"/>
      <w:sz w:val="24"/>
      <w:szCs w:val="24"/>
      <w:shd w:val="pct20" w:color="auto" w:fill="auto"/>
    </w:rPr>
  </w:style>
  <w:style w:type="character" w:customStyle="1" w:styleId="133">
    <w:name w:val="Table Text Char Char"/>
    <w:link w:val="134"/>
    <w:qFormat/>
    <w:uiPriority w:val="0"/>
    <w:rPr>
      <w:rFonts w:ascii="Arial" w:hAnsi="Arial" w:cs="Arial"/>
      <w:b/>
      <w:sz w:val="18"/>
      <w:szCs w:val="18"/>
    </w:rPr>
  </w:style>
  <w:style w:type="paragraph" w:customStyle="1" w:styleId="134">
    <w:name w:val="Table Text"/>
    <w:link w:val="133"/>
    <w:qFormat/>
    <w:uiPriority w:val="0"/>
    <w:pPr>
      <w:snapToGrid w:val="0"/>
      <w:spacing w:before="80" w:after="80"/>
    </w:pPr>
    <w:rPr>
      <w:rFonts w:ascii="Arial" w:hAnsi="Arial" w:cs="Arial" w:eastAsiaTheme="minorEastAsia"/>
      <w:b/>
      <w:kern w:val="2"/>
      <w:sz w:val="18"/>
      <w:szCs w:val="18"/>
      <w:lang w:val="en-US" w:eastAsia="zh-CN" w:bidi="ar-SA"/>
    </w:rPr>
  </w:style>
  <w:style w:type="character" w:customStyle="1" w:styleId="135">
    <w:name w:val="要点文字"/>
    <w:qFormat/>
    <w:uiPriority w:val="0"/>
    <w:rPr>
      <w:rFonts w:ascii="Arial" w:hAnsi="Arial" w:eastAsia="宋体"/>
      <w:b/>
      <w:color w:val="0000FF"/>
      <w:sz w:val="24"/>
      <w:szCs w:val="24"/>
    </w:rPr>
  </w:style>
  <w:style w:type="character" w:customStyle="1" w:styleId="136">
    <w:name w:val="标题 Char1"/>
    <w:qFormat/>
    <w:uiPriority w:val="0"/>
    <w:rPr>
      <w:rFonts w:ascii="Cambria" w:hAnsi="Cambria" w:cs="Times New Roman"/>
      <w:b/>
      <w:bCs/>
      <w:kern w:val="2"/>
      <w:sz w:val="32"/>
      <w:szCs w:val="32"/>
    </w:rPr>
  </w:style>
  <w:style w:type="character" w:customStyle="1" w:styleId="137">
    <w:name w:val="注释标题 Char1"/>
    <w:qFormat/>
    <w:uiPriority w:val="0"/>
    <w:rPr>
      <w:kern w:val="2"/>
      <w:sz w:val="21"/>
    </w:rPr>
  </w:style>
  <w:style w:type="character" w:customStyle="1" w:styleId="138">
    <w:name w:val="content151"/>
    <w:qFormat/>
    <w:uiPriority w:val="0"/>
    <w:rPr>
      <w:rFonts w:ascii="仿宋_GB2312" w:eastAsia="仿宋_GB2312"/>
      <w:kern w:val="2"/>
      <w:sz w:val="18"/>
      <w:szCs w:val="18"/>
      <w:u w:val="none"/>
      <w:lang w:val="en-US" w:eastAsia="zh-CN" w:bidi="ar-SA"/>
    </w:rPr>
  </w:style>
  <w:style w:type="paragraph" w:customStyle="1" w:styleId="139">
    <w:name w:val="样式 首行缩进:  2 字符"/>
    <w:basedOn w:val="1"/>
    <w:qFormat/>
    <w:uiPriority w:val="0"/>
    <w:pPr>
      <w:spacing w:line="360" w:lineRule="auto"/>
      <w:ind w:firstLine="200" w:firstLineChars="200"/>
    </w:pPr>
    <w:rPr>
      <w:rFonts w:cs="宋体"/>
      <w:sz w:val="28"/>
    </w:rPr>
  </w:style>
  <w:style w:type="paragraph" w:customStyle="1" w:styleId="140">
    <w:name w:val="xl133"/>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cs="宋体"/>
      <w:color w:val="000000"/>
      <w:kern w:val="0"/>
      <w:sz w:val="20"/>
    </w:rPr>
  </w:style>
  <w:style w:type="paragraph" w:customStyle="1" w:styleId="141">
    <w:name w:val="Char Char1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143">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cs="宋体"/>
      <w:b/>
      <w:bCs/>
      <w:kern w:val="0"/>
      <w:sz w:val="20"/>
    </w:rPr>
  </w:style>
  <w:style w:type="paragraph" w:customStyle="1" w:styleId="144">
    <w:name w:val="xl77"/>
    <w:basedOn w:val="1"/>
    <w:qFormat/>
    <w:uiPriority w:val="0"/>
    <w:pPr>
      <w:widowControl/>
      <w:pBdr>
        <w:top w:val="single" w:color="auto" w:sz="4" w:space="0"/>
        <w:bottom w:val="single" w:color="auto" w:sz="4" w:space="0"/>
      </w:pBdr>
      <w:spacing w:before="100" w:beforeAutospacing="1" w:after="100" w:afterAutospacing="1"/>
      <w:jc w:val="center"/>
      <w:textAlignment w:val="center"/>
    </w:pPr>
    <w:rPr>
      <w:kern w:val="0"/>
      <w:sz w:val="20"/>
    </w:rPr>
  </w:style>
  <w:style w:type="paragraph" w:customStyle="1" w:styleId="145">
    <w:name w:val="xl112"/>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rPr>
  </w:style>
  <w:style w:type="paragraph" w:customStyle="1" w:styleId="146">
    <w:name w:val="6 Char"/>
    <w:basedOn w:val="1"/>
    <w:qFormat/>
    <w:uiPriority w:val="0"/>
    <w:pPr>
      <w:adjustRightInd w:val="0"/>
      <w:spacing w:line="360" w:lineRule="auto"/>
    </w:pPr>
    <w:rPr>
      <w:kern w:val="0"/>
      <w:sz w:val="24"/>
      <w:szCs w:val="24"/>
    </w:rPr>
  </w:style>
  <w:style w:type="paragraph" w:customStyle="1" w:styleId="147">
    <w:name w:val="样式 正文首行缩进 + 首行缩进:  2 字符"/>
    <w:basedOn w:val="48"/>
    <w:qFormat/>
    <w:uiPriority w:val="0"/>
    <w:pPr>
      <w:spacing w:line="300" w:lineRule="auto"/>
      <w:ind w:firstLine="200" w:firstLineChars="200"/>
    </w:pPr>
    <w:rPr>
      <w:rFonts w:eastAsia="PMingLiU" w:cs="宋体"/>
      <w:szCs w:val="20"/>
      <w:lang w:eastAsia="zh-TW"/>
    </w:rPr>
  </w:style>
  <w:style w:type="paragraph" w:customStyle="1" w:styleId="148">
    <w:name w:val="xl107"/>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149">
    <w:name w:val="xl1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kern w:val="0"/>
      <w:sz w:val="20"/>
    </w:rPr>
  </w:style>
  <w:style w:type="paragraph" w:customStyle="1" w:styleId="150">
    <w:name w:val="样式 首行缩进:  2 字符1"/>
    <w:basedOn w:val="1"/>
    <w:qFormat/>
    <w:uiPriority w:val="0"/>
    <w:pPr>
      <w:ind w:firstLine="480" w:firstLineChars="200"/>
    </w:pPr>
    <w:rPr>
      <w:rFonts w:cs="宋体"/>
      <w:sz w:val="24"/>
    </w:rPr>
  </w:style>
  <w:style w:type="paragraph" w:customStyle="1" w:styleId="15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rPr>
  </w:style>
  <w:style w:type="paragraph" w:customStyle="1" w:styleId="152">
    <w:name w:val="带提示图标的正文"/>
    <w:next w:val="1"/>
    <w:qFormat/>
    <w:uiPriority w:val="0"/>
    <w:pPr>
      <w:numPr>
        <w:ilvl w:val="0"/>
        <w:numId w:val="5"/>
      </w:numPr>
      <w:tabs>
        <w:tab w:val="left" w:pos="-20"/>
      </w:tabs>
      <w:spacing w:before="156" w:after="156"/>
    </w:pPr>
    <w:rPr>
      <w:rFonts w:ascii="Arial" w:hAnsi="Arial" w:eastAsia="宋体" w:cs="Times New Roman"/>
      <w:kern w:val="2"/>
      <w:sz w:val="24"/>
      <w:szCs w:val="24"/>
      <w:lang w:val="en-US" w:eastAsia="ar-SA" w:bidi="ar-SA"/>
    </w:rPr>
  </w:style>
  <w:style w:type="paragraph" w:customStyle="1" w:styleId="15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154">
    <w:name w:val="Table Paragraph"/>
    <w:basedOn w:val="1"/>
    <w:qFormat/>
    <w:uiPriority w:val="1"/>
    <w:rPr>
      <w:rFonts w:ascii="宋体" w:hAnsi="宋体" w:cs="宋体"/>
      <w:sz w:val="28"/>
      <w:szCs w:val="22"/>
    </w:rPr>
  </w:style>
  <w:style w:type="paragraph" w:customStyle="1" w:styleId="155">
    <w:name w:val="样式3"/>
    <w:basedOn w:val="4"/>
    <w:qFormat/>
    <w:uiPriority w:val="0"/>
    <w:pPr>
      <w:tabs>
        <w:tab w:val="left" w:pos="567"/>
      </w:tabs>
      <w:suppressAutoHyphens/>
      <w:spacing w:line="413" w:lineRule="auto"/>
      <w:jc w:val="center"/>
    </w:pPr>
    <w:rPr>
      <w:rFonts w:ascii="黑体"/>
      <w:sz w:val="44"/>
      <w:szCs w:val="44"/>
      <w:lang w:eastAsia="ar-SA"/>
    </w:rPr>
  </w:style>
  <w:style w:type="paragraph" w:customStyle="1" w:styleId="156">
    <w:name w:val="修订1"/>
    <w:semiHidden/>
    <w:qFormat/>
    <w:uiPriority w:val="99"/>
    <w:rPr>
      <w:rFonts w:ascii="Times New Roman" w:hAnsi="Times New Roman" w:eastAsia="宋体" w:cs="Times New Roman"/>
      <w:kern w:val="2"/>
      <w:sz w:val="21"/>
      <w:lang w:val="en-US" w:eastAsia="zh-CN" w:bidi="ar-SA"/>
    </w:rPr>
  </w:style>
  <w:style w:type="paragraph" w:customStyle="1" w:styleId="157">
    <w:name w:val="符号正文"/>
    <w:basedOn w:val="1"/>
    <w:qFormat/>
    <w:uiPriority w:val="0"/>
    <w:pPr>
      <w:tabs>
        <w:tab w:val="left" w:pos="420"/>
      </w:tabs>
      <w:adjustRightInd w:val="0"/>
      <w:snapToGrid w:val="0"/>
      <w:spacing w:before="156" w:line="480" w:lineRule="exact"/>
      <w:ind w:right="23" w:firstLine="539"/>
      <w:textAlignment w:val="baseline"/>
    </w:pPr>
    <w:rPr>
      <w:rFonts w:ascii="仿宋_GB2312" w:eastAsia="仿宋_GB2312"/>
      <w:color w:val="000000"/>
      <w:sz w:val="28"/>
      <w:szCs w:val="24"/>
    </w:rPr>
  </w:style>
  <w:style w:type="paragraph" w:customStyle="1" w:styleId="158">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rPr>
  </w:style>
  <w:style w:type="paragraph" w:customStyle="1" w:styleId="159">
    <w:name w:val="图片居中"/>
    <w:qFormat/>
    <w:uiPriority w:val="0"/>
    <w:pPr>
      <w:spacing w:before="100" w:beforeAutospacing="1" w:after="100" w:afterAutospacing="1"/>
      <w:ind w:firstLine="403"/>
      <w:jc w:val="center"/>
    </w:pPr>
    <w:rPr>
      <w:rFonts w:ascii="宋体" w:hAnsi="宋体" w:eastAsia="宋体" w:cs="Times New Roman"/>
      <w:kern w:val="24"/>
      <w:sz w:val="21"/>
      <w:szCs w:val="24"/>
      <w:lang w:val="en-US" w:eastAsia="zh-CN" w:bidi="ar-SA"/>
    </w:rPr>
  </w:style>
  <w:style w:type="paragraph" w:customStyle="1" w:styleId="160">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161">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kern w:val="0"/>
      <w:sz w:val="20"/>
    </w:rPr>
  </w:style>
  <w:style w:type="paragraph" w:customStyle="1" w:styleId="162">
    <w:name w:val="彩色列表1"/>
    <w:basedOn w:val="1"/>
    <w:qFormat/>
    <w:uiPriority w:val="0"/>
    <w:pPr>
      <w:ind w:firstLine="420" w:firstLineChars="200"/>
    </w:pPr>
  </w:style>
  <w:style w:type="paragraph" w:customStyle="1" w:styleId="163">
    <w:name w:val="xl1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kern w:val="0"/>
      <w:sz w:val="20"/>
    </w:rPr>
  </w:style>
  <w:style w:type="paragraph" w:customStyle="1" w:styleId="164">
    <w:name w:val="尾注"/>
    <w:basedOn w:val="30"/>
    <w:qFormat/>
    <w:uiPriority w:val="0"/>
    <w:pPr>
      <w:spacing w:beforeLines="0" w:afterLines="0"/>
      <w:ind w:firstLine="480"/>
    </w:pPr>
    <w:rPr>
      <w:sz w:val="21"/>
      <w:lang w:eastAsia="zh-CN"/>
    </w:rPr>
  </w:style>
  <w:style w:type="paragraph" w:customStyle="1" w:styleId="165">
    <w:name w:val="Default Paragraph Font Para Char"/>
    <w:basedOn w:val="1"/>
    <w:qFormat/>
    <w:uiPriority w:val="0"/>
    <w:pPr>
      <w:widowControl/>
      <w:spacing w:after="160" w:line="240" w:lineRule="exact"/>
      <w:jc w:val="left"/>
    </w:pPr>
    <w:rPr>
      <w:rFonts w:ascii="Verdana" w:hAnsi="Verdana"/>
      <w:kern w:val="0"/>
      <w:sz w:val="24"/>
      <w:lang w:eastAsia="en-US"/>
    </w:rPr>
  </w:style>
  <w:style w:type="paragraph" w:customStyle="1" w:styleId="16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color w:val="000000"/>
      <w:kern w:val="0"/>
      <w:sz w:val="20"/>
    </w:rPr>
  </w:style>
  <w:style w:type="paragraph" w:customStyle="1" w:styleId="167">
    <w:name w:val="xl1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168">
    <w:name w:val="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rPr>
  </w:style>
  <w:style w:type="paragraph" w:customStyle="1" w:styleId="170">
    <w:name w:val="小四宋体正文"/>
    <w:basedOn w:val="1"/>
    <w:qFormat/>
    <w:uiPriority w:val="0"/>
    <w:pPr>
      <w:ind w:firstLine="175" w:firstLineChars="175"/>
    </w:pPr>
    <w:rPr>
      <w:rFonts w:ascii="Arial" w:hAnsi="Arial" w:cs="宋体"/>
      <w:sz w:val="24"/>
    </w:rPr>
  </w:style>
  <w:style w:type="paragraph" w:customStyle="1" w:styleId="171">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172">
    <w:name w:val="xl13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cs="宋体"/>
      <w:color w:val="000000"/>
      <w:kern w:val="0"/>
      <w:sz w:val="20"/>
    </w:rPr>
  </w:style>
  <w:style w:type="paragraph" w:customStyle="1" w:styleId="173">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cs="宋体"/>
      <w:color w:val="000000"/>
      <w:kern w:val="0"/>
      <w:sz w:val="20"/>
    </w:rPr>
  </w:style>
  <w:style w:type="paragraph" w:customStyle="1" w:styleId="174">
    <w:name w:val="样式 首行缩进:  0.74 厘米 行距: 1.5 倍行距"/>
    <w:basedOn w:val="1"/>
    <w:qFormat/>
    <w:uiPriority w:val="0"/>
    <w:pPr>
      <w:spacing w:line="360" w:lineRule="auto"/>
      <w:ind w:firstLine="420"/>
    </w:pPr>
    <w:rPr>
      <w:rFonts w:ascii="黑体" w:eastAsia="黑体"/>
      <w:sz w:val="28"/>
      <w:szCs w:val="28"/>
    </w:rPr>
  </w:style>
  <w:style w:type="paragraph" w:customStyle="1" w:styleId="175">
    <w:name w:val="列出段落1"/>
    <w:basedOn w:val="1"/>
    <w:qFormat/>
    <w:uiPriority w:val="0"/>
    <w:pPr>
      <w:ind w:firstLine="200" w:firstLineChars="200"/>
    </w:pPr>
    <w:rPr>
      <w:rFonts w:ascii="Calibri" w:hAnsi="Calibri"/>
      <w:szCs w:val="22"/>
    </w:rPr>
  </w:style>
  <w:style w:type="paragraph" w:customStyle="1" w:styleId="176">
    <w:name w:val="Normal1"/>
    <w:basedOn w:val="16"/>
    <w:qFormat/>
    <w:uiPriority w:val="0"/>
    <w:pPr>
      <w:numPr>
        <w:ilvl w:val="0"/>
        <w:numId w:val="0"/>
      </w:numPr>
      <w:spacing w:beforeLines="0" w:afterLines="0" w:line="240" w:lineRule="auto"/>
      <w:jc w:val="both"/>
    </w:pPr>
    <w:rPr>
      <w:iCs/>
      <w:kern w:val="0"/>
      <w:sz w:val="21"/>
      <w:szCs w:val="20"/>
    </w:rPr>
  </w:style>
  <w:style w:type="paragraph" w:customStyle="1" w:styleId="177">
    <w:name w:val="font8"/>
    <w:basedOn w:val="1"/>
    <w:qFormat/>
    <w:uiPriority w:val="0"/>
    <w:pPr>
      <w:widowControl/>
      <w:spacing w:before="100" w:beforeAutospacing="1" w:after="100" w:afterAutospacing="1"/>
      <w:jc w:val="left"/>
    </w:pPr>
    <w:rPr>
      <w:rFonts w:ascii="宋体" w:cs="宋体"/>
      <w:color w:val="000000"/>
      <w:kern w:val="0"/>
      <w:sz w:val="20"/>
    </w:rPr>
  </w:style>
  <w:style w:type="paragraph" w:customStyle="1" w:styleId="178">
    <w:name w:val="样式 标题 2 + 宋体 五号 行距: 单倍行距"/>
    <w:basedOn w:val="4"/>
    <w:qFormat/>
    <w:uiPriority w:val="0"/>
    <w:pPr>
      <w:adjustRightInd w:val="0"/>
      <w:spacing w:line="240" w:lineRule="auto"/>
      <w:jc w:val="left"/>
      <w:textAlignment w:val="baseline"/>
    </w:pPr>
    <w:rPr>
      <w:rFonts w:ascii="宋体" w:hAnsi="宋体" w:eastAsia="宋体"/>
      <w:bCs w:val="0"/>
      <w:kern w:val="0"/>
      <w:sz w:val="21"/>
      <w:szCs w:val="20"/>
    </w:rPr>
  </w:style>
  <w:style w:type="paragraph" w:customStyle="1" w:styleId="1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cs="宋体"/>
      <w:kern w:val="0"/>
      <w:sz w:val="20"/>
    </w:rPr>
  </w:style>
  <w:style w:type="paragraph" w:customStyle="1" w:styleId="18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kern w:val="0"/>
      <w:sz w:val="20"/>
    </w:rPr>
  </w:style>
  <w:style w:type="paragraph" w:customStyle="1" w:styleId="18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8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000000"/>
      <w:kern w:val="0"/>
      <w:sz w:val="20"/>
    </w:rPr>
  </w:style>
  <w:style w:type="paragraph" w:customStyle="1" w:styleId="183">
    <w:name w:val="xl14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eastAsia="新宋体" w:cs="宋体"/>
      <w:b/>
      <w:bCs/>
      <w:kern w:val="0"/>
      <w:sz w:val="24"/>
      <w:szCs w:val="24"/>
    </w:rPr>
  </w:style>
  <w:style w:type="paragraph" w:customStyle="1" w:styleId="184">
    <w:name w:val="CSS1级正文"/>
    <w:basedOn w:val="2"/>
    <w:qFormat/>
    <w:uiPriority w:val="0"/>
    <w:pPr>
      <w:adjustRightInd w:val="0"/>
      <w:snapToGrid w:val="0"/>
      <w:ind w:firstLine="480" w:firstLineChars="200"/>
      <w:jc w:val="left"/>
    </w:pPr>
    <w:rPr>
      <w:rFonts w:ascii="Calibri" w:hAnsi="Calibri" w:eastAsia="Times New Roman"/>
      <w:b w:val="0"/>
      <w:w w:val="100"/>
      <w:sz w:val="24"/>
      <w:szCs w:val="20"/>
    </w:rPr>
  </w:style>
  <w:style w:type="paragraph" w:customStyle="1" w:styleId="185">
    <w:name w:val="表格标题"/>
    <w:basedOn w:val="186"/>
    <w:qFormat/>
    <w:uiPriority w:val="0"/>
    <w:pPr>
      <w:jc w:val="center"/>
    </w:pPr>
    <w:rPr>
      <w:b/>
      <w:bCs/>
      <w:i/>
      <w:iCs/>
    </w:rPr>
  </w:style>
  <w:style w:type="paragraph" w:customStyle="1" w:styleId="186">
    <w:name w:val="表格内容"/>
    <w:basedOn w:val="1"/>
    <w:qFormat/>
    <w:uiPriority w:val="0"/>
    <w:pPr>
      <w:suppressLineNumbers/>
      <w:suppressAutoHyphens/>
    </w:pPr>
    <w:rPr>
      <w:kern w:val="1"/>
      <w:sz w:val="28"/>
      <w:szCs w:val="24"/>
      <w:lang w:eastAsia="ar-SA"/>
    </w:rPr>
  </w:style>
  <w:style w:type="paragraph" w:customStyle="1" w:styleId="187">
    <w:name w:val="Char"/>
    <w:basedOn w:val="1"/>
    <w:qFormat/>
    <w:uiPriority w:val="0"/>
    <w:rPr>
      <w:rFonts w:ascii="仿宋_GB2312" w:eastAsia="仿宋_GB2312"/>
      <w:b/>
      <w:sz w:val="32"/>
      <w:szCs w:val="32"/>
    </w:rPr>
  </w:style>
  <w:style w:type="paragraph" w:customStyle="1" w:styleId="188">
    <w:name w:val="代码"/>
    <w:qFormat/>
    <w:uiPriority w:val="0"/>
    <w:pPr>
      <w:pBdr>
        <w:top w:val="single" w:color="auto" w:sz="4" w:space="1"/>
        <w:left w:val="single" w:color="auto" w:sz="4" w:space="4"/>
        <w:bottom w:val="single" w:color="auto" w:sz="4" w:space="1"/>
        <w:right w:val="single" w:color="auto" w:sz="4" w:space="4"/>
      </w:pBdr>
      <w:shd w:val="clear" w:color="auto" w:fill="E6E6E6"/>
      <w:wordWrap w:val="0"/>
      <w:spacing w:before="156" w:after="156"/>
      <w:ind w:firstLine="400"/>
    </w:pPr>
    <w:rPr>
      <w:rFonts w:ascii="Courier New" w:hAnsi="Courier New" w:eastAsia="宋体" w:cs="Times New Roman"/>
      <w:kern w:val="24"/>
      <w:lang w:val="en-US" w:eastAsia="ar-SA" w:bidi="ar-SA"/>
    </w:rPr>
  </w:style>
  <w:style w:type="paragraph" w:customStyle="1" w:styleId="189">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color w:val="000000"/>
      <w:kern w:val="0"/>
      <w:sz w:val="20"/>
    </w:rPr>
  </w:style>
  <w:style w:type="paragraph" w:customStyle="1" w:styleId="190">
    <w:name w:val="xl1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rPr>
  </w:style>
  <w:style w:type="paragraph" w:customStyle="1" w:styleId="191">
    <w:name w:val="缩紧正文 Char Char"/>
    <w:basedOn w:val="1"/>
    <w:qFormat/>
    <w:uiPriority w:val="0"/>
    <w:pPr>
      <w:spacing w:before="120" w:after="120" w:line="400" w:lineRule="exact"/>
      <w:ind w:firstLine="480" w:firstLineChars="200"/>
    </w:pPr>
    <w:rPr>
      <w:rFonts w:ascii="宋体" w:hAnsi="宋体" w:cs="宋体"/>
      <w:sz w:val="28"/>
      <w:szCs w:val="22"/>
    </w:rPr>
  </w:style>
  <w:style w:type="paragraph" w:customStyle="1" w:styleId="192">
    <w:name w:val="引文段落"/>
    <w:qFormat/>
    <w:uiPriority w:val="0"/>
    <w:pPr>
      <w:spacing w:before="167" w:after="167"/>
      <w:ind w:firstLine="462"/>
    </w:pPr>
    <w:rPr>
      <w:rFonts w:ascii="Arial" w:hAnsi="Arial" w:eastAsia="宋体" w:cs="Times New Roman"/>
      <w:i/>
      <w:kern w:val="24"/>
      <w:sz w:val="24"/>
      <w:szCs w:val="24"/>
      <w:lang w:val="en-US" w:eastAsia="zh-CN" w:bidi="ar-SA"/>
    </w:rPr>
  </w:style>
  <w:style w:type="paragraph" w:customStyle="1" w:styleId="193">
    <w:name w:val="缩紧正文 Char Char Char"/>
    <w:basedOn w:val="1"/>
    <w:qFormat/>
    <w:uiPriority w:val="0"/>
    <w:pPr>
      <w:spacing w:before="120" w:after="120" w:line="400" w:lineRule="exact"/>
      <w:ind w:firstLine="480" w:firstLineChars="200"/>
    </w:pPr>
    <w:rPr>
      <w:rFonts w:ascii="宋体" w:hAnsi="宋体" w:cs="宋体"/>
      <w:sz w:val="28"/>
      <w:szCs w:val="22"/>
    </w:rPr>
  </w:style>
  <w:style w:type="paragraph" w:customStyle="1" w:styleId="194">
    <w:name w:val="xl10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cs="宋体"/>
      <w:color w:val="000000"/>
      <w:kern w:val="0"/>
      <w:sz w:val="20"/>
    </w:rPr>
  </w:style>
  <w:style w:type="paragraph" w:customStyle="1" w:styleId="195">
    <w:name w:val="xl1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eastAsia="新宋体" w:cs="宋体"/>
      <w:b/>
      <w:bCs/>
      <w:kern w:val="0"/>
      <w:sz w:val="24"/>
      <w:szCs w:val="24"/>
    </w:rPr>
  </w:style>
  <w:style w:type="paragraph" w:customStyle="1" w:styleId="19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197">
    <w:name w:val="p17"/>
    <w:basedOn w:val="1"/>
    <w:qFormat/>
    <w:uiPriority w:val="0"/>
    <w:pPr>
      <w:widowControl/>
      <w:ind w:firstLine="420"/>
    </w:pPr>
    <w:rPr>
      <w:rFonts w:ascii="Arial" w:hAnsi="Arial" w:cs="Arial"/>
      <w:kern w:val="0"/>
      <w:sz w:val="28"/>
      <w:szCs w:val="22"/>
    </w:rPr>
  </w:style>
  <w:style w:type="paragraph" w:customStyle="1" w:styleId="198">
    <w:name w:val="默认段落字体 Para Char Char Char Char Char Char Char"/>
    <w:basedOn w:val="1"/>
    <w:qFormat/>
    <w:uiPriority w:val="0"/>
    <w:pPr>
      <w:keepNext/>
    </w:pPr>
    <w:rPr>
      <w:rFonts w:ascii="Tahoma" w:hAnsi="Tahoma"/>
      <w:sz w:val="24"/>
    </w:rPr>
  </w:style>
  <w:style w:type="paragraph" w:customStyle="1" w:styleId="199">
    <w:name w:val="Char1"/>
    <w:basedOn w:val="1"/>
    <w:qFormat/>
    <w:uiPriority w:val="0"/>
    <w:pPr>
      <w:adjustRightInd w:val="0"/>
      <w:spacing w:line="360" w:lineRule="auto"/>
    </w:pPr>
    <w:rPr>
      <w:kern w:val="0"/>
      <w:sz w:val="24"/>
    </w:rPr>
  </w:style>
  <w:style w:type="paragraph" w:customStyle="1" w:styleId="200">
    <w:name w:val="方案设计正文"/>
    <w:basedOn w:val="1"/>
    <w:qFormat/>
    <w:uiPriority w:val="0"/>
    <w:pPr>
      <w:adjustRightInd w:val="0"/>
      <w:snapToGrid w:val="0"/>
      <w:spacing w:line="360" w:lineRule="auto"/>
      <w:ind w:firstLine="480" w:firstLineChars="200"/>
    </w:pPr>
    <w:rPr>
      <w:sz w:val="24"/>
      <w:szCs w:val="24"/>
    </w:rPr>
  </w:style>
  <w:style w:type="paragraph" w:customStyle="1" w:styleId="20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20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rPr>
  </w:style>
  <w:style w:type="paragraph" w:customStyle="1" w:styleId="203">
    <w:name w:val="xl75"/>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cs="宋体"/>
      <w:kern w:val="0"/>
      <w:sz w:val="20"/>
    </w:rPr>
  </w:style>
  <w:style w:type="paragraph" w:customStyle="1" w:styleId="204">
    <w:name w:val="xl14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eastAsia="新宋体" w:cs="宋体"/>
      <w:b/>
      <w:bCs/>
      <w:kern w:val="0"/>
      <w:sz w:val="24"/>
      <w:szCs w:val="24"/>
    </w:rPr>
  </w:style>
  <w:style w:type="paragraph" w:customStyle="1" w:styleId="205">
    <w:name w:val="内部列表"/>
    <w:basedOn w:val="1"/>
    <w:qFormat/>
    <w:uiPriority w:val="0"/>
    <w:pPr>
      <w:tabs>
        <w:tab w:val="left" w:pos="360"/>
      </w:tabs>
      <w:adjustRightInd w:val="0"/>
      <w:snapToGrid w:val="0"/>
      <w:spacing w:line="300" w:lineRule="auto"/>
      <w:ind w:left="500" w:leftChars="350" w:hanging="150" w:hangingChars="150"/>
    </w:pPr>
    <w:rPr>
      <w:sz w:val="28"/>
      <w:szCs w:val="24"/>
    </w:rPr>
  </w:style>
  <w:style w:type="paragraph" w:customStyle="1" w:styleId="206">
    <w:name w:val="题注1-图片"/>
    <w:qFormat/>
    <w:uiPriority w:val="0"/>
    <w:pPr>
      <w:jc w:val="center"/>
    </w:pPr>
    <w:rPr>
      <w:rFonts w:ascii="宋体" w:hAnsi="宋体" w:eastAsia="宋体" w:cs="Times New Roman"/>
      <w:b/>
      <w:kern w:val="24"/>
      <w:sz w:val="24"/>
      <w:szCs w:val="24"/>
      <w:lang w:val="en-US" w:eastAsia="ar-SA" w:bidi="ar-SA"/>
    </w:rPr>
  </w:style>
  <w:style w:type="paragraph" w:customStyle="1" w:styleId="20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rPr>
  </w:style>
  <w:style w:type="paragraph" w:customStyle="1" w:styleId="20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209">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210">
    <w:name w:val="xl8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cs="宋体"/>
      <w:color w:val="000000"/>
      <w:kern w:val="0"/>
      <w:sz w:val="20"/>
    </w:rPr>
  </w:style>
  <w:style w:type="paragraph" w:customStyle="1" w:styleId="211">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2">
    <w:name w:val="正文 A A"/>
    <w:qFormat/>
    <w:uiPriority w:val="0"/>
    <w:pPr>
      <w:widowControl w:val="0"/>
      <w:jc w:val="both"/>
    </w:pPr>
    <w:rPr>
      <w:rFonts w:ascii="Arial Unicode MS" w:hAnsi="Arial Unicode MS" w:eastAsia="仿宋" w:cs="Arial Unicode MS"/>
      <w:color w:val="000000"/>
      <w:kern w:val="2"/>
      <w:sz w:val="28"/>
      <w:szCs w:val="21"/>
      <w:u w:color="000000"/>
      <w:lang w:val="zh-TW" w:eastAsia="zh-CN" w:bidi="ar-SA"/>
    </w:rPr>
  </w:style>
  <w:style w:type="paragraph" w:customStyle="1" w:styleId="213">
    <w:name w:val="font9"/>
    <w:basedOn w:val="1"/>
    <w:qFormat/>
    <w:uiPriority w:val="0"/>
    <w:pPr>
      <w:widowControl/>
      <w:spacing w:before="100" w:beforeAutospacing="1" w:after="100" w:afterAutospacing="1"/>
      <w:jc w:val="left"/>
    </w:pPr>
    <w:rPr>
      <w:color w:val="000000"/>
      <w:kern w:val="0"/>
      <w:sz w:val="20"/>
    </w:rPr>
  </w:style>
  <w:style w:type="paragraph" w:customStyle="1" w:styleId="214">
    <w:name w:val="font7"/>
    <w:basedOn w:val="1"/>
    <w:qFormat/>
    <w:uiPriority w:val="0"/>
    <w:pPr>
      <w:widowControl/>
      <w:spacing w:before="100" w:beforeAutospacing="1" w:after="100" w:afterAutospacing="1"/>
      <w:jc w:val="left"/>
    </w:pPr>
    <w:rPr>
      <w:kern w:val="0"/>
      <w:sz w:val="20"/>
    </w:rPr>
  </w:style>
  <w:style w:type="paragraph" w:customStyle="1" w:styleId="215">
    <w:name w:val="表格"/>
    <w:basedOn w:val="1"/>
    <w:qFormat/>
    <w:uiPriority w:val="0"/>
    <w:pPr>
      <w:jc w:val="center"/>
    </w:pPr>
    <w:rPr>
      <w:rFonts w:ascii="仿宋_GB2312" w:cs="仿宋_GB2312"/>
      <w:sz w:val="28"/>
      <w:szCs w:val="21"/>
    </w:rPr>
  </w:style>
  <w:style w:type="paragraph" w:customStyle="1" w:styleId="216">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4"/>
      <w:szCs w:val="24"/>
    </w:rPr>
  </w:style>
  <w:style w:type="paragraph" w:customStyle="1" w:styleId="217">
    <w:name w:val="样式 正文文本缩进 + 左  0 字符"/>
    <w:basedOn w:val="21"/>
    <w:qFormat/>
    <w:uiPriority w:val="0"/>
    <w:pPr>
      <w:spacing w:line="360" w:lineRule="auto"/>
      <w:ind w:firstLine="250" w:firstLineChars="250"/>
    </w:pPr>
    <w:rPr>
      <w:rFonts w:ascii="Times New Roman" w:eastAsia="宋体" w:cs="宋体"/>
      <w:sz w:val="24"/>
    </w:rPr>
  </w:style>
  <w:style w:type="paragraph" w:customStyle="1" w:styleId="218">
    <w:name w:val="样式 样式 样式 正文首行缩进 2 + 左  0 字符 + 首行缩进:  2.57 字符 + 首行缩进:  2.57 字符"/>
    <w:basedOn w:val="1"/>
    <w:qFormat/>
    <w:uiPriority w:val="0"/>
    <w:pPr>
      <w:spacing w:after="120" w:line="360" w:lineRule="auto"/>
      <w:ind w:firstLine="617" w:firstLineChars="257"/>
    </w:pPr>
    <w:rPr>
      <w:rFonts w:cs="宋体"/>
      <w:sz w:val="24"/>
    </w:rPr>
  </w:style>
  <w:style w:type="paragraph" w:customStyle="1" w:styleId="219">
    <w:name w:val="_Style 4"/>
    <w:basedOn w:val="1"/>
    <w:qFormat/>
    <w:uiPriority w:val="34"/>
    <w:pPr>
      <w:ind w:firstLine="420" w:firstLineChars="200"/>
    </w:pPr>
    <w:rPr>
      <w:rFonts w:ascii="Calibri" w:hAnsi="Calibri"/>
      <w:szCs w:val="22"/>
    </w:rPr>
  </w:style>
  <w:style w:type="paragraph" w:customStyle="1" w:styleId="220">
    <w:name w:val="xl115"/>
    <w:basedOn w:val="1"/>
    <w:qFormat/>
    <w:uiPriority w:val="0"/>
    <w:pPr>
      <w:widowControl/>
      <w:pBdr>
        <w:right w:val="single" w:color="auto" w:sz="4" w:space="0"/>
      </w:pBdr>
      <w:spacing w:before="100" w:beforeAutospacing="1" w:after="100" w:afterAutospacing="1"/>
      <w:jc w:val="left"/>
    </w:pPr>
    <w:rPr>
      <w:rFonts w:ascii="宋体" w:cs="宋体"/>
      <w:kern w:val="0"/>
      <w:sz w:val="24"/>
      <w:szCs w:val="24"/>
    </w:rPr>
  </w:style>
  <w:style w:type="paragraph" w:customStyle="1" w:styleId="22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kern w:val="0"/>
      <w:sz w:val="20"/>
    </w:rPr>
  </w:style>
  <w:style w:type="paragraph" w:customStyle="1" w:styleId="222">
    <w:name w:val="*Heading 2"/>
    <w:next w:val="109"/>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223">
    <w:name w:val="条目2"/>
    <w:basedOn w:val="1"/>
    <w:qFormat/>
    <w:uiPriority w:val="0"/>
    <w:pPr>
      <w:numPr>
        <w:ilvl w:val="0"/>
        <w:numId w:val="6"/>
      </w:numPr>
      <w:tabs>
        <w:tab w:val="left" w:pos="0"/>
      </w:tabs>
      <w:spacing w:line="360" w:lineRule="auto"/>
      <w:ind w:firstLine="200" w:firstLineChars="200"/>
    </w:pPr>
    <w:rPr>
      <w:sz w:val="24"/>
      <w:szCs w:val="24"/>
    </w:rPr>
  </w:style>
  <w:style w:type="paragraph" w:customStyle="1" w:styleId="22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kern w:val="0"/>
      <w:sz w:val="24"/>
      <w:szCs w:val="24"/>
    </w:rPr>
  </w:style>
  <w:style w:type="paragraph" w:customStyle="1" w:styleId="225">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kern w:val="0"/>
      <w:sz w:val="20"/>
    </w:rPr>
  </w:style>
  <w:style w:type="paragraph" w:customStyle="1" w:styleId="22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rPr>
  </w:style>
  <w:style w:type="paragraph" w:customStyle="1" w:styleId="227">
    <w:name w:val="正文首行缩进2字符"/>
    <w:basedOn w:val="1"/>
    <w:qFormat/>
    <w:uiPriority w:val="0"/>
    <w:pPr>
      <w:adjustRightInd w:val="0"/>
      <w:spacing w:before="120" w:after="120"/>
      <w:ind w:firstLine="480"/>
    </w:pPr>
    <w:rPr>
      <w:rFonts w:cs="宋体"/>
      <w:sz w:val="28"/>
      <w:szCs w:val="22"/>
    </w:rPr>
  </w:style>
  <w:style w:type="paragraph" w:customStyle="1" w:styleId="228">
    <w:name w:val="font6"/>
    <w:basedOn w:val="1"/>
    <w:qFormat/>
    <w:uiPriority w:val="0"/>
    <w:pPr>
      <w:widowControl/>
      <w:spacing w:before="100" w:beforeAutospacing="1" w:after="100" w:afterAutospacing="1"/>
      <w:jc w:val="left"/>
    </w:pPr>
    <w:rPr>
      <w:rFonts w:ascii="宋体" w:cs="宋体"/>
      <w:kern w:val="0"/>
      <w:sz w:val="20"/>
    </w:rPr>
  </w:style>
  <w:style w:type="paragraph" w:customStyle="1" w:styleId="229">
    <w:name w:val="Char1 Char Char Char"/>
    <w:basedOn w:val="1"/>
    <w:qFormat/>
    <w:uiPriority w:val="0"/>
    <w:rPr>
      <w:rFonts w:ascii="Tahoma" w:hAnsi="Tahoma"/>
      <w:sz w:val="24"/>
    </w:rPr>
  </w:style>
  <w:style w:type="paragraph" w:customStyle="1" w:styleId="23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kern w:val="0"/>
      <w:sz w:val="20"/>
    </w:rPr>
  </w:style>
  <w:style w:type="paragraph" w:customStyle="1" w:styleId="23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rPr>
  </w:style>
  <w:style w:type="paragraph" w:customStyle="1" w:styleId="232">
    <w:name w:val="样式6"/>
    <w:basedOn w:val="233"/>
    <w:qFormat/>
    <w:uiPriority w:val="0"/>
  </w:style>
  <w:style w:type="paragraph" w:customStyle="1" w:styleId="233">
    <w:name w:val="head"/>
    <w:basedOn w:val="1"/>
    <w:next w:val="1"/>
    <w:qFormat/>
    <w:uiPriority w:val="0"/>
    <w:pPr>
      <w:keepNext/>
      <w:keepLines/>
      <w:adjustRightInd w:val="0"/>
      <w:snapToGrid w:val="0"/>
      <w:spacing w:before="120" w:after="60" w:line="360" w:lineRule="auto"/>
      <w:jc w:val="left"/>
      <w:outlineLvl w:val="2"/>
    </w:pPr>
    <w:rPr>
      <w:rFonts w:ascii="黑体" w:hAnsi="宋体" w:eastAsia="黑体"/>
      <w:color w:val="000000"/>
      <w:sz w:val="28"/>
      <w:szCs w:val="28"/>
    </w:rPr>
  </w:style>
  <w:style w:type="paragraph" w:customStyle="1" w:styleId="23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0"/>
    </w:rPr>
  </w:style>
  <w:style w:type="paragraph" w:customStyle="1" w:styleId="235">
    <w:name w:val="列出段落2"/>
    <w:basedOn w:val="1"/>
    <w:unhideWhenUsed/>
    <w:qFormat/>
    <w:uiPriority w:val="0"/>
    <w:pPr>
      <w:ind w:firstLine="420"/>
    </w:pPr>
    <w:rPr>
      <w:sz w:val="28"/>
      <w:szCs w:val="22"/>
    </w:rPr>
  </w:style>
  <w:style w:type="paragraph" w:customStyle="1" w:styleId="2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rPr>
  </w:style>
  <w:style w:type="paragraph" w:customStyle="1" w:styleId="237">
    <w:name w:val="正文居中"/>
    <w:basedOn w:val="1"/>
    <w:next w:val="1"/>
    <w:qFormat/>
    <w:uiPriority w:val="0"/>
    <w:pPr>
      <w:adjustRightInd w:val="0"/>
      <w:snapToGrid w:val="0"/>
      <w:spacing w:line="300" w:lineRule="auto"/>
      <w:jc w:val="center"/>
    </w:pPr>
    <w:rPr>
      <w:sz w:val="28"/>
      <w:szCs w:val="24"/>
    </w:rPr>
  </w:style>
  <w:style w:type="paragraph" w:customStyle="1" w:styleId="238">
    <w:name w:val="xl125"/>
    <w:basedOn w:val="1"/>
    <w:qFormat/>
    <w:uiPriority w:val="0"/>
    <w:pPr>
      <w:widowControl/>
      <w:spacing w:before="100" w:beforeAutospacing="1" w:after="100" w:afterAutospacing="1"/>
      <w:jc w:val="center"/>
    </w:pPr>
    <w:rPr>
      <w:rFonts w:ascii="宋体" w:cs="宋体"/>
      <w:kern w:val="0"/>
      <w:sz w:val="24"/>
      <w:szCs w:val="24"/>
    </w:rPr>
  </w:style>
  <w:style w:type="paragraph" w:customStyle="1" w:styleId="239">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rPr>
  </w:style>
  <w:style w:type="paragraph" w:customStyle="1" w:styleId="240">
    <w:name w:val="默认"/>
    <w:qFormat/>
    <w:uiPriority w:val="0"/>
    <w:pPr>
      <w:framePr w:wrap="around" w:vAnchor="margin" w:hAnchor="text" w:yAlign="top"/>
    </w:pPr>
    <w:rPr>
      <w:rFonts w:ascii="Helvetica" w:hAnsi="Arial Unicode MS" w:eastAsia="Arial Unicode MS" w:cs="Arial Unicode MS"/>
      <w:color w:val="000000"/>
      <w:sz w:val="22"/>
      <w:szCs w:val="22"/>
      <w:lang w:val="en-US" w:eastAsia="zh-CN" w:bidi="ar-SA"/>
    </w:rPr>
  </w:style>
  <w:style w:type="paragraph" w:customStyle="1" w:styleId="241">
    <w:name w:val="要点段落"/>
    <w:qFormat/>
    <w:uiPriority w:val="0"/>
    <w:pPr>
      <w:spacing w:before="167" w:after="167"/>
      <w:ind w:firstLine="462"/>
    </w:pPr>
    <w:rPr>
      <w:rFonts w:ascii="Arial" w:hAnsi="Arial" w:eastAsia="宋体" w:cs="Times New Roman"/>
      <w:b/>
      <w:color w:val="0000FF"/>
      <w:kern w:val="24"/>
      <w:sz w:val="24"/>
      <w:szCs w:val="24"/>
      <w:lang w:val="en-US" w:eastAsia="ar-SA" w:bidi="ar-SA"/>
    </w:rPr>
  </w:style>
  <w:style w:type="paragraph" w:customStyle="1" w:styleId="242">
    <w:name w:val="附图居中"/>
    <w:basedOn w:val="1"/>
    <w:next w:val="243"/>
    <w:qFormat/>
    <w:uiPriority w:val="0"/>
    <w:pPr>
      <w:keepNext/>
      <w:jc w:val="center"/>
    </w:pPr>
    <w:rPr>
      <w:sz w:val="28"/>
      <w:szCs w:val="24"/>
    </w:rPr>
  </w:style>
  <w:style w:type="paragraph" w:customStyle="1" w:styleId="243">
    <w:name w:val="附图标题"/>
    <w:basedOn w:val="242"/>
    <w:next w:val="14"/>
    <w:qFormat/>
    <w:uiPriority w:val="0"/>
    <w:pPr>
      <w:numPr>
        <w:ilvl w:val="0"/>
        <w:numId w:val="7"/>
      </w:numPr>
      <w:tabs>
        <w:tab w:val="left" w:pos="720"/>
      </w:tabs>
      <w:spacing w:afterLines="100"/>
    </w:pPr>
    <w:rPr>
      <w:rFonts w:ascii="Arial" w:hAnsi="Arial" w:eastAsia="黑体"/>
      <w:b/>
      <w:sz w:val="18"/>
    </w:rPr>
  </w:style>
  <w:style w:type="paragraph" w:customStyle="1" w:styleId="244">
    <w:name w:val="Char2"/>
    <w:basedOn w:val="1"/>
    <w:qFormat/>
    <w:uiPriority w:val="0"/>
    <w:pPr>
      <w:tabs>
        <w:tab w:val="left" w:pos="1260"/>
      </w:tabs>
      <w:ind w:left="425" w:hanging="425"/>
    </w:pPr>
    <w:rPr>
      <w:sz w:val="24"/>
      <w:szCs w:val="24"/>
    </w:rPr>
  </w:style>
  <w:style w:type="paragraph" w:customStyle="1" w:styleId="24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kern w:val="0"/>
      <w:sz w:val="20"/>
    </w:rPr>
  </w:style>
  <w:style w:type="paragraph" w:customStyle="1" w:styleId="246">
    <w:name w:val="段"/>
    <w:next w:val="1"/>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247">
    <w:name w:val="headi"/>
    <w:basedOn w:val="1"/>
    <w:next w:val="1"/>
    <w:qFormat/>
    <w:uiPriority w:val="0"/>
    <w:pPr>
      <w:keepNext/>
      <w:keepLines/>
      <w:numPr>
        <w:ilvl w:val="2"/>
        <w:numId w:val="8"/>
      </w:numPr>
      <w:spacing w:before="260" w:after="260" w:line="413" w:lineRule="auto"/>
    </w:pPr>
    <w:rPr>
      <w:b/>
      <w:bCs/>
      <w:sz w:val="32"/>
      <w:szCs w:val="32"/>
    </w:rPr>
  </w:style>
  <w:style w:type="paragraph" w:customStyle="1" w:styleId="248">
    <w:name w:val="_Style 3"/>
    <w:basedOn w:val="1"/>
    <w:qFormat/>
    <w:uiPriority w:val="34"/>
    <w:pPr>
      <w:ind w:firstLine="420" w:firstLineChars="200"/>
    </w:pPr>
    <w:rPr>
      <w:sz w:val="28"/>
      <w:szCs w:val="22"/>
    </w:rPr>
  </w:style>
  <w:style w:type="paragraph" w:customStyle="1" w:styleId="24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0">
    <w:name w:val="xl109"/>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cs="宋体"/>
      <w:b/>
      <w:bCs/>
      <w:kern w:val="0"/>
      <w:sz w:val="20"/>
    </w:rPr>
  </w:style>
  <w:style w:type="paragraph" w:customStyle="1" w:styleId="251">
    <w:name w:val="xl1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kern w:val="0"/>
      <w:sz w:val="20"/>
    </w:rPr>
  </w:style>
  <w:style w:type="paragraph" w:customStyle="1" w:styleId="252">
    <w:name w:val="带提倡图标的正文"/>
    <w:next w:val="1"/>
    <w:qFormat/>
    <w:uiPriority w:val="0"/>
    <w:pPr>
      <w:numPr>
        <w:ilvl w:val="0"/>
        <w:numId w:val="9"/>
      </w:numPr>
      <w:tabs>
        <w:tab w:val="left" w:pos="0"/>
      </w:tabs>
      <w:ind w:firstLine="461" w:firstLineChars="192"/>
    </w:pPr>
    <w:rPr>
      <w:rFonts w:ascii="Arial" w:hAnsi="Arial" w:eastAsia="宋体" w:cs="Times New Roman"/>
      <w:kern w:val="2"/>
      <w:sz w:val="24"/>
      <w:szCs w:val="24"/>
      <w:lang w:val="en-US" w:eastAsia="zh-CN" w:bidi="ar-SA"/>
    </w:rPr>
  </w:style>
  <w:style w:type="paragraph" w:customStyle="1" w:styleId="253">
    <w:name w:val="题注2-表格"/>
    <w:qFormat/>
    <w:uiPriority w:val="0"/>
    <w:pPr>
      <w:jc w:val="both"/>
    </w:pPr>
    <w:rPr>
      <w:rFonts w:ascii="宋体" w:hAnsi="宋体" w:eastAsia="宋体" w:cs="Times New Roman"/>
      <w:b/>
      <w:kern w:val="24"/>
      <w:sz w:val="24"/>
      <w:szCs w:val="24"/>
      <w:lang w:val="en-US" w:eastAsia="ar-SA" w:bidi="ar-SA"/>
    </w:rPr>
  </w:style>
  <w:style w:type="paragraph" w:customStyle="1" w:styleId="254">
    <w:name w:val="C-正文段落"/>
    <w:basedOn w:val="1"/>
    <w:qFormat/>
    <w:uiPriority w:val="0"/>
    <w:pPr>
      <w:spacing w:line="360" w:lineRule="auto"/>
      <w:ind w:firstLine="435"/>
      <w:jc w:val="left"/>
    </w:pPr>
    <w:rPr>
      <w:sz w:val="28"/>
      <w:szCs w:val="24"/>
    </w:rPr>
  </w:style>
  <w:style w:type="paragraph" w:customStyle="1" w:styleId="255">
    <w:name w:val="标题 21"/>
    <w:next w:val="120"/>
    <w:qFormat/>
    <w:uiPriority w:val="0"/>
    <w:pPr>
      <w:keepNext/>
      <w:keepLines/>
      <w:numPr>
        <w:ilvl w:val="1"/>
        <w:numId w:val="4"/>
      </w:numPr>
      <w:tabs>
        <w:tab w:val="left" w:pos="567"/>
      </w:tabs>
      <w:spacing w:beforeLines="46" w:afterLines="46"/>
      <w:outlineLvl w:val="1"/>
    </w:pPr>
    <w:rPr>
      <w:rFonts w:hint="eastAsia" w:ascii="Arial" w:hAnsi="Arial" w:eastAsia="黑体" w:cs="Times New Roman"/>
      <w:b/>
      <w:kern w:val="36"/>
      <w:sz w:val="32"/>
      <w:lang w:val="en-US" w:eastAsia="zh-CN" w:bidi="ar-SA"/>
    </w:rPr>
  </w:style>
  <w:style w:type="paragraph" w:customStyle="1" w:styleId="256">
    <w:name w:val="样式4"/>
    <w:basedOn w:val="233"/>
    <w:next w:val="3"/>
    <w:qFormat/>
    <w:uiPriority w:val="0"/>
    <w:pPr>
      <w:outlineLvl w:val="1"/>
    </w:pPr>
    <w:rPr>
      <w:sz w:val="30"/>
    </w:rPr>
  </w:style>
  <w:style w:type="paragraph" w:customStyle="1" w:styleId="25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kern w:val="0"/>
      <w:sz w:val="20"/>
    </w:rPr>
  </w:style>
  <w:style w:type="paragraph" w:customStyle="1" w:styleId="258">
    <w:name w:val="my正文"/>
    <w:basedOn w:val="1"/>
    <w:qFormat/>
    <w:uiPriority w:val="0"/>
    <w:pPr>
      <w:ind w:firstLine="480" w:firstLineChars="200"/>
    </w:pPr>
    <w:rPr>
      <w:kern w:val="0"/>
      <w:sz w:val="24"/>
      <w:szCs w:val="24"/>
    </w:rPr>
  </w:style>
  <w:style w:type="paragraph" w:customStyle="1" w:styleId="259">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rPr>
  </w:style>
  <w:style w:type="paragraph" w:customStyle="1" w:styleId="260">
    <w:name w:val="xl12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cs="宋体"/>
      <w:b/>
      <w:bCs/>
      <w:color w:val="000000"/>
      <w:kern w:val="0"/>
      <w:sz w:val="20"/>
    </w:rPr>
  </w:style>
  <w:style w:type="paragraph" w:customStyle="1" w:styleId="261">
    <w:name w:val="附录"/>
    <w:qFormat/>
    <w:uiPriority w:val="0"/>
    <w:pPr>
      <w:spacing w:beforeLines="50" w:afterLines="50" w:line="300" w:lineRule="auto"/>
    </w:pPr>
    <w:rPr>
      <w:rFonts w:ascii="Arial" w:hAnsi="Arial" w:eastAsia="宋体" w:cs="Times New Roman"/>
      <w:b/>
      <w:kern w:val="36"/>
      <w:sz w:val="30"/>
      <w:lang w:val="en-US" w:eastAsia="zh-CN" w:bidi="ar-SA"/>
    </w:rPr>
  </w:style>
  <w:style w:type="paragraph" w:customStyle="1" w:styleId="26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FF0000"/>
      <w:kern w:val="0"/>
      <w:sz w:val="24"/>
      <w:szCs w:val="24"/>
    </w:rPr>
  </w:style>
  <w:style w:type="paragraph" w:customStyle="1" w:styleId="263">
    <w:name w:val="_Style 6"/>
    <w:basedOn w:val="17"/>
    <w:qFormat/>
    <w:uiPriority w:val="0"/>
    <w:pPr>
      <w:shd w:val="clear" w:color="auto" w:fill="000080"/>
      <w:jc w:val="center"/>
    </w:pPr>
    <w:rPr>
      <w:rFonts w:ascii="Times New Roman" w:eastAsia="Times New Roman"/>
      <w:kern w:val="0"/>
      <w:sz w:val="20"/>
      <w:szCs w:val="24"/>
    </w:rPr>
  </w:style>
  <w:style w:type="paragraph" w:customStyle="1" w:styleId="264">
    <w:name w:val="QB正文"/>
    <w:basedOn w:val="1"/>
    <w:qFormat/>
    <w:uiPriority w:val="0"/>
    <w:pPr>
      <w:widowControl/>
      <w:autoSpaceDE w:val="0"/>
      <w:autoSpaceDN w:val="0"/>
    </w:pPr>
    <w:rPr>
      <w:kern w:val="0"/>
    </w:rPr>
  </w:style>
  <w:style w:type="paragraph" w:customStyle="1" w:styleId="26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kern w:val="0"/>
      <w:sz w:val="20"/>
    </w:rPr>
  </w:style>
  <w:style w:type="paragraph" w:customStyle="1" w:styleId="266">
    <w:name w:val="默认段落字体 Para Char"/>
    <w:basedOn w:val="1"/>
    <w:qFormat/>
    <w:uiPriority w:val="0"/>
    <w:pPr>
      <w:adjustRightInd w:val="0"/>
      <w:spacing w:line="360" w:lineRule="auto"/>
      <w:ind w:firstLine="200" w:firstLineChars="200"/>
    </w:pPr>
    <w:rPr>
      <w:kern w:val="0"/>
      <w:sz w:val="28"/>
    </w:rPr>
  </w:style>
  <w:style w:type="paragraph" w:customStyle="1" w:styleId="267">
    <w:name w:val="样式 样式 正文首行缩进 + 首行缩进:  1 字符 + 首行缩进:  1 字符"/>
    <w:basedOn w:val="1"/>
    <w:qFormat/>
    <w:uiPriority w:val="0"/>
    <w:pPr>
      <w:spacing w:line="360" w:lineRule="auto"/>
      <w:ind w:firstLine="200" w:firstLineChars="200"/>
    </w:pPr>
    <w:rPr>
      <w:rFonts w:cs="宋体"/>
      <w:sz w:val="24"/>
    </w:rPr>
  </w:style>
  <w:style w:type="paragraph" w:customStyle="1" w:styleId="26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cs="宋体"/>
      <w:color w:val="000000"/>
      <w:kern w:val="0"/>
      <w:sz w:val="20"/>
    </w:rPr>
  </w:style>
  <w:style w:type="paragraph" w:customStyle="1" w:styleId="269">
    <w:name w:val="xl88"/>
    <w:basedOn w:val="1"/>
    <w:qFormat/>
    <w:uiPriority w:val="0"/>
    <w:pPr>
      <w:widowControl/>
      <w:pBdr>
        <w:top w:val="single" w:color="auto" w:sz="4" w:space="0"/>
        <w:bottom w:val="single" w:color="auto" w:sz="4" w:space="0"/>
      </w:pBdr>
      <w:spacing w:before="100" w:beforeAutospacing="1" w:after="100" w:afterAutospacing="1"/>
      <w:jc w:val="center"/>
      <w:textAlignment w:val="center"/>
    </w:pPr>
    <w:rPr>
      <w:color w:val="000000"/>
      <w:kern w:val="0"/>
      <w:sz w:val="20"/>
    </w:rPr>
  </w:style>
  <w:style w:type="paragraph" w:customStyle="1" w:styleId="270">
    <w:name w:val="编号正文"/>
    <w:qFormat/>
    <w:uiPriority w:val="0"/>
    <w:pPr>
      <w:numPr>
        <w:ilvl w:val="0"/>
        <w:numId w:val="10"/>
      </w:numPr>
      <w:tabs>
        <w:tab w:val="left" w:pos="62"/>
      </w:tabs>
      <w:spacing w:before="156" w:after="156"/>
    </w:pPr>
    <w:rPr>
      <w:rFonts w:ascii="Arial" w:hAnsi="Arial" w:eastAsia="宋体" w:cs="Times New Roman"/>
      <w:kern w:val="24"/>
      <w:sz w:val="24"/>
      <w:szCs w:val="24"/>
      <w:lang w:val="en-US" w:eastAsia="zh-CN" w:bidi="ar-SA"/>
    </w:rPr>
  </w:style>
  <w:style w:type="paragraph" w:customStyle="1" w:styleId="271">
    <w:name w:val="正文(缩进) 五号"/>
    <w:basedOn w:val="1"/>
    <w:qFormat/>
    <w:uiPriority w:val="0"/>
    <w:pPr>
      <w:ind w:left="708" w:leftChars="354" w:firstLine="454"/>
      <w:jc w:val="left"/>
    </w:pPr>
    <w:rPr>
      <w:rFonts w:ascii="宋体" w:hAnsi="宋体" w:cs="Arial"/>
      <w:sz w:val="28"/>
      <w:szCs w:val="24"/>
    </w:rPr>
  </w:style>
  <w:style w:type="paragraph" w:customStyle="1" w:styleId="272">
    <w:name w:val="样式 样式 正文首行缩进 2 + 首行缩进:  2 字符 + 首行缩进:  2 字符"/>
    <w:basedOn w:val="1"/>
    <w:qFormat/>
    <w:uiPriority w:val="0"/>
    <w:pPr>
      <w:spacing w:line="360" w:lineRule="auto"/>
      <w:ind w:firstLine="480" w:firstLineChars="200"/>
    </w:pPr>
    <w:rPr>
      <w:sz w:val="24"/>
    </w:rPr>
  </w:style>
  <w:style w:type="paragraph" w:customStyle="1" w:styleId="273">
    <w:name w:val="正文样式 宋体 小四 行距: 1.5 倍行距"/>
    <w:basedOn w:val="1"/>
    <w:qFormat/>
    <w:uiPriority w:val="0"/>
    <w:pPr>
      <w:tabs>
        <w:tab w:val="left" w:pos="360"/>
      </w:tabs>
      <w:spacing w:line="360" w:lineRule="auto"/>
      <w:ind w:firstLine="480" w:firstLineChars="200"/>
    </w:pPr>
    <w:rPr>
      <w:rFonts w:ascii="宋体" w:hAnsi="宋体"/>
      <w:sz w:val="24"/>
    </w:rPr>
  </w:style>
  <w:style w:type="paragraph" w:customStyle="1" w:styleId="274">
    <w:name w:val="正文 A"/>
    <w:qFormat/>
    <w:uiPriority w:val="0"/>
    <w:pPr>
      <w:widowControl w:val="0"/>
      <w:spacing w:line="360" w:lineRule="auto"/>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75">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cs="宋体"/>
      <w:kern w:val="0"/>
      <w:sz w:val="20"/>
    </w:rPr>
  </w:style>
  <w:style w:type="paragraph" w:customStyle="1" w:styleId="276">
    <w:name w:val="p0"/>
    <w:basedOn w:val="1"/>
    <w:qFormat/>
    <w:uiPriority w:val="0"/>
    <w:pPr>
      <w:widowControl/>
    </w:pPr>
    <w:rPr>
      <w:kern w:val="0"/>
      <w:szCs w:val="21"/>
    </w:rPr>
  </w:style>
  <w:style w:type="paragraph" w:customStyle="1" w:styleId="277">
    <w:name w:val="样式5"/>
    <w:basedOn w:val="4"/>
    <w:next w:val="46"/>
    <w:qFormat/>
    <w:uiPriority w:val="0"/>
    <w:pPr>
      <w:tabs>
        <w:tab w:val="left" w:pos="567"/>
      </w:tabs>
      <w:suppressAutoHyphens/>
      <w:spacing w:line="413" w:lineRule="auto"/>
      <w:jc w:val="center"/>
    </w:pPr>
    <w:rPr>
      <w:rFonts w:ascii="黑体"/>
      <w:color w:val="000000"/>
      <w:sz w:val="44"/>
      <w:szCs w:val="44"/>
      <w:lang w:eastAsia="ar-SA"/>
    </w:rPr>
  </w:style>
  <w:style w:type="paragraph" w:customStyle="1" w:styleId="278">
    <w:name w:val="标准正文"/>
    <w:basedOn w:val="1"/>
    <w:qFormat/>
    <w:uiPriority w:val="0"/>
    <w:pPr>
      <w:numPr>
        <w:ilvl w:val="1"/>
        <w:numId w:val="11"/>
      </w:numPr>
      <w:ind w:left="0" w:leftChars="200" w:firstLine="0"/>
    </w:pPr>
    <w:rPr>
      <w:sz w:val="28"/>
      <w:szCs w:val="24"/>
      <w:lang w:val="en-GB"/>
    </w:rPr>
  </w:style>
  <w:style w:type="paragraph" w:customStyle="1" w:styleId="279">
    <w:name w:val="带注意图标的正文"/>
    <w:next w:val="1"/>
    <w:qFormat/>
    <w:uiPriority w:val="0"/>
    <w:pPr>
      <w:numPr>
        <w:ilvl w:val="0"/>
        <w:numId w:val="12"/>
      </w:numPr>
      <w:tabs>
        <w:tab w:val="left" w:pos="0"/>
      </w:tabs>
      <w:ind w:firstLine="461" w:firstLineChars="192"/>
    </w:pPr>
    <w:rPr>
      <w:rFonts w:ascii="Arial" w:hAnsi="Arial" w:eastAsia="宋体" w:cs="Times New Roman"/>
      <w:kern w:val="2"/>
      <w:sz w:val="24"/>
      <w:szCs w:val="24"/>
      <w:lang w:val="en-US" w:eastAsia="ar-SA" w:bidi="ar-SA"/>
    </w:rPr>
  </w:style>
  <w:style w:type="paragraph" w:styleId="280">
    <w:name w:val="List Paragraph"/>
    <w:basedOn w:val="1"/>
    <w:qFormat/>
    <w:uiPriority w:val="34"/>
    <w:pPr>
      <w:widowControl/>
      <w:spacing w:after="200" w:line="276" w:lineRule="auto"/>
      <w:ind w:left="720"/>
      <w:jc w:val="left"/>
    </w:pPr>
    <w:rPr>
      <w:rFonts w:ascii="Calibri" w:hAnsi="Calibri"/>
      <w:kern w:val="0"/>
      <w:sz w:val="22"/>
      <w:szCs w:val="22"/>
      <w:lang w:eastAsia="en-US" w:bidi="en-US"/>
    </w:rPr>
  </w:style>
  <w:style w:type="paragraph" w:customStyle="1" w:styleId="281">
    <w:name w:val="样式 正文缩进正文（首行缩进两字）四号表正文正文非缩进特点标题4段1 + 首行缩进:  2.1 字符"/>
    <w:basedOn w:val="14"/>
    <w:qFormat/>
    <w:uiPriority w:val="0"/>
    <w:pPr>
      <w:autoSpaceDE/>
      <w:autoSpaceDN/>
      <w:ind w:left="0" w:right="480" w:firstLine="0"/>
      <w:jc w:val="left"/>
    </w:pPr>
    <w:rPr>
      <w:rFonts w:ascii="宋体" w:hAnsi="宋体" w:cs="宋体"/>
      <w:color w:val="000000"/>
    </w:rPr>
  </w:style>
  <w:style w:type="paragraph" w:customStyle="1" w:styleId="28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16"/>
      <w:szCs w:val="16"/>
    </w:rPr>
  </w:style>
  <w:style w:type="paragraph" w:customStyle="1" w:styleId="283">
    <w:name w:val="Char Char2 Char"/>
    <w:basedOn w:val="17"/>
    <w:qFormat/>
    <w:uiPriority w:val="0"/>
    <w:pPr>
      <w:shd w:val="clear" w:color="auto" w:fill="000080"/>
    </w:pPr>
    <w:rPr>
      <w:rFonts w:ascii="Tahoma" w:hAnsi="Tahoma"/>
      <w:sz w:val="24"/>
      <w:szCs w:val="24"/>
    </w:rPr>
  </w:style>
  <w:style w:type="paragraph" w:customStyle="1" w:styleId="284">
    <w:name w:val="列表正文"/>
    <w:basedOn w:val="1"/>
    <w:qFormat/>
    <w:uiPriority w:val="0"/>
    <w:pPr>
      <w:adjustRightInd w:val="0"/>
      <w:snapToGrid w:val="0"/>
      <w:spacing w:line="300" w:lineRule="auto"/>
      <w:ind w:left="200" w:leftChars="200" w:firstLine="150" w:firstLineChars="150"/>
    </w:pPr>
    <w:rPr>
      <w:sz w:val="28"/>
      <w:szCs w:val="24"/>
    </w:rPr>
  </w:style>
  <w:style w:type="paragraph" w:customStyle="1" w:styleId="285">
    <w:name w:val="xl14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cs="宋体"/>
      <w:b/>
      <w:bCs/>
      <w:color w:val="000000"/>
      <w:kern w:val="0"/>
      <w:sz w:val="20"/>
    </w:rPr>
  </w:style>
  <w:style w:type="paragraph" w:customStyle="1" w:styleId="286">
    <w:name w:val="样式 正文首行缩进 + 首行缩进:  2 字符 Char"/>
    <w:basedOn w:val="48"/>
    <w:qFormat/>
    <w:uiPriority w:val="0"/>
    <w:pPr>
      <w:spacing w:line="300" w:lineRule="auto"/>
      <w:ind w:firstLine="200" w:firstLineChars="200"/>
    </w:pPr>
    <w:rPr>
      <w:rFonts w:cs="宋体"/>
      <w:szCs w:val="20"/>
    </w:rPr>
  </w:style>
  <w:style w:type="paragraph" w:customStyle="1" w:styleId="28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88">
    <w:name w:val="列表段落1"/>
    <w:basedOn w:val="1"/>
    <w:qFormat/>
    <w:uiPriority w:val="99"/>
    <w:pPr>
      <w:ind w:firstLine="420" w:firstLineChars="200"/>
    </w:pPr>
    <w:rPr>
      <w:rFonts w:ascii="Calibri" w:hAnsi="Calibri"/>
      <w:szCs w:val="24"/>
    </w:rPr>
  </w:style>
  <w:style w:type="paragraph" w:customStyle="1" w:styleId="289">
    <w:name w:val="一级"/>
    <w:basedOn w:val="1"/>
    <w:qFormat/>
    <w:uiPriority w:val="0"/>
    <w:pPr>
      <w:widowControl/>
      <w:spacing w:before="120" w:after="120" w:line="440" w:lineRule="exact"/>
      <w:jc w:val="left"/>
    </w:pPr>
    <w:rPr>
      <w:rFonts w:ascii="Calibri" w:hAnsi="Calibri" w:eastAsia="黑体"/>
      <w:kern w:val="0"/>
      <w:sz w:val="28"/>
      <w:lang w:eastAsia="en-US" w:bidi="en-US"/>
    </w:rPr>
  </w:style>
  <w:style w:type="paragraph" w:customStyle="1" w:styleId="290">
    <w:name w:val="xl12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cs="宋体"/>
      <w:b/>
      <w:bCs/>
      <w:kern w:val="0"/>
      <w:sz w:val="20"/>
    </w:rPr>
  </w:style>
  <w:style w:type="paragraph" w:customStyle="1" w:styleId="291">
    <w:name w:val="Style Normal Indent + First line:  2 ch"/>
    <w:basedOn w:val="14"/>
    <w:qFormat/>
    <w:uiPriority w:val="0"/>
    <w:pPr>
      <w:autoSpaceDE/>
      <w:autoSpaceDN/>
      <w:ind w:left="0" w:firstLine="200" w:firstLineChars="200"/>
    </w:pPr>
    <w:rPr>
      <w:rFonts w:cs="宋体"/>
      <w:szCs w:val="20"/>
    </w:rPr>
  </w:style>
  <w:style w:type="paragraph" w:customStyle="1" w:styleId="292">
    <w:name w:val="xl86"/>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cs="宋体"/>
      <w:color w:val="000000"/>
      <w:kern w:val="0"/>
      <w:sz w:val="20"/>
    </w:rPr>
  </w:style>
  <w:style w:type="paragraph" w:customStyle="1" w:styleId="293">
    <w:name w:val="font10"/>
    <w:basedOn w:val="1"/>
    <w:qFormat/>
    <w:uiPriority w:val="0"/>
    <w:pPr>
      <w:widowControl/>
      <w:spacing w:before="100" w:beforeAutospacing="1" w:after="100" w:afterAutospacing="1"/>
      <w:jc w:val="left"/>
    </w:pPr>
    <w:rPr>
      <w:rFonts w:ascii="宋体" w:cs="宋体"/>
      <w:color w:val="000000"/>
      <w:kern w:val="0"/>
      <w:sz w:val="20"/>
    </w:rPr>
  </w:style>
  <w:style w:type="paragraph" w:customStyle="1" w:styleId="294">
    <w:name w:val="CINQ-正文段落"/>
    <w:basedOn w:val="1"/>
    <w:qFormat/>
    <w:uiPriority w:val="0"/>
    <w:pPr>
      <w:spacing w:line="360" w:lineRule="auto"/>
      <w:ind w:firstLine="437"/>
    </w:pPr>
    <w:rPr>
      <w:szCs w:val="24"/>
    </w:rPr>
  </w:style>
  <w:style w:type="paragraph" w:customStyle="1" w:styleId="295">
    <w:name w:val="目录"/>
    <w:qFormat/>
    <w:uiPriority w:val="0"/>
    <w:pPr>
      <w:spacing w:before="156" w:after="156"/>
      <w:ind w:firstLine="643"/>
      <w:jc w:val="center"/>
    </w:pPr>
    <w:rPr>
      <w:rFonts w:ascii="黑体" w:hAnsi="华文中宋" w:eastAsia="黑体" w:cs="Times New Roman"/>
      <w:b/>
      <w:kern w:val="24"/>
      <w:sz w:val="32"/>
      <w:szCs w:val="32"/>
      <w:lang w:val="en-US" w:eastAsia="ar-SA" w:bidi="ar-SA"/>
    </w:rPr>
  </w:style>
  <w:style w:type="paragraph" w:customStyle="1" w:styleId="29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297">
    <w:name w:val="样式 标题 2正文二级标题PIM2H2Heading 2 HiddenHeading 2 CCBSheading 2..."/>
    <w:basedOn w:val="4"/>
    <w:next w:val="174"/>
    <w:qFormat/>
    <w:uiPriority w:val="0"/>
    <w:pPr>
      <w:numPr>
        <w:ilvl w:val="1"/>
        <w:numId w:val="3"/>
      </w:numPr>
      <w:tabs>
        <w:tab w:val="left" w:pos="567"/>
      </w:tabs>
      <w:suppressAutoHyphens/>
      <w:spacing w:line="360" w:lineRule="auto"/>
      <w:ind w:firstLine="200" w:firstLineChars="200"/>
    </w:pPr>
    <w:rPr>
      <w:rFonts w:ascii="仿宋_GB2312"/>
      <w:sz w:val="36"/>
      <w:szCs w:val="24"/>
      <w:lang w:eastAsia="ar-SA"/>
    </w:rPr>
  </w:style>
  <w:style w:type="paragraph" w:customStyle="1" w:styleId="29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eastAsia="新宋体" w:cs="宋体"/>
      <w:kern w:val="0"/>
      <w:sz w:val="20"/>
    </w:rPr>
  </w:style>
  <w:style w:type="paragraph" w:customStyle="1" w:styleId="299">
    <w:name w:val="样式 标题 3标题 3 Char Char标题 3 Char节标题H3level_3PIM 3Level 3 He..."/>
    <w:basedOn w:val="5"/>
    <w:qFormat/>
    <w:uiPriority w:val="0"/>
    <w:pPr>
      <w:numPr>
        <w:ilvl w:val="2"/>
        <w:numId w:val="13"/>
      </w:numPr>
      <w:tabs>
        <w:tab w:val="left" w:pos="720"/>
      </w:tabs>
      <w:spacing w:line="360" w:lineRule="auto"/>
      <w:ind w:right="240" w:rightChars="100"/>
      <w:jc w:val="left"/>
    </w:pPr>
    <w:rPr>
      <w:rFonts w:cs="宋体"/>
      <w:color w:val="000000"/>
      <w:sz w:val="28"/>
      <w:szCs w:val="20"/>
    </w:rPr>
  </w:style>
  <w:style w:type="paragraph" w:customStyle="1" w:styleId="300">
    <w:name w:val="xl11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cs="宋体"/>
      <w:b/>
      <w:bCs/>
      <w:color w:val="000000"/>
      <w:kern w:val="0"/>
      <w:sz w:val="20"/>
    </w:rPr>
  </w:style>
  <w:style w:type="paragraph" w:customStyle="1" w:styleId="301">
    <w:name w:val="Char Char Char"/>
    <w:basedOn w:val="1"/>
    <w:qFormat/>
    <w:uiPriority w:val="0"/>
    <w:pPr>
      <w:widowControl/>
      <w:spacing w:after="160" w:line="240" w:lineRule="exact"/>
      <w:jc w:val="left"/>
    </w:pPr>
    <w:rPr>
      <w:rFonts w:ascii="Verdana" w:hAnsi="Verdana"/>
      <w:kern w:val="0"/>
      <w:sz w:val="20"/>
      <w:lang w:eastAsia="en-US"/>
    </w:rPr>
  </w:style>
  <w:style w:type="paragraph" w:customStyle="1" w:styleId="30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rPr>
  </w:style>
  <w:style w:type="paragraph" w:customStyle="1" w:styleId="30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304">
    <w:name w:val="缩紧正文"/>
    <w:basedOn w:val="1"/>
    <w:qFormat/>
    <w:uiPriority w:val="0"/>
    <w:pPr>
      <w:spacing w:before="120" w:after="120" w:line="400" w:lineRule="exact"/>
      <w:ind w:firstLine="480" w:firstLineChars="200"/>
    </w:pPr>
    <w:rPr>
      <w:rFonts w:ascii="宋体" w:hAnsi="宋体" w:cs="宋体"/>
      <w:sz w:val="28"/>
    </w:rPr>
  </w:style>
  <w:style w:type="paragraph" w:customStyle="1" w:styleId="30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0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16"/>
      <w:szCs w:val="16"/>
    </w:rPr>
  </w:style>
  <w:style w:type="paragraph" w:customStyle="1" w:styleId="307">
    <w:name w:val="文档正文"/>
    <w:basedOn w:val="1"/>
    <w:qFormat/>
    <w:uiPriority w:val="0"/>
    <w:rPr>
      <w:sz w:val="24"/>
    </w:rPr>
  </w:style>
  <w:style w:type="paragraph" w:customStyle="1" w:styleId="30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rPr>
  </w:style>
  <w:style w:type="paragraph" w:customStyle="1" w:styleId="309">
    <w:name w:val="列出段落11"/>
    <w:basedOn w:val="1"/>
    <w:qFormat/>
    <w:uiPriority w:val="0"/>
    <w:pPr>
      <w:ind w:firstLine="420" w:firstLineChars="200"/>
    </w:pPr>
    <w:rPr>
      <w:rFonts w:ascii="Calibri" w:hAnsi="Calibri"/>
      <w:szCs w:val="22"/>
    </w:rPr>
  </w:style>
  <w:style w:type="paragraph" w:customStyle="1" w:styleId="310">
    <w:name w:val="xl11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rPr>
  </w:style>
  <w:style w:type="paragraph" w:customStyle="1" w:styleId="311">
    <w:name w:val="标题 3，标题样式3"/>
    <w:basedOn w:val="5"/>
    <w:qFormat/>
    <w:uiPriority w:val="0"/>
    <w:pPr>
      <w:numPr>
        <w:ilvl w:val="2"/>
        <w:numId w:val="14"/>
      </w:numPr>
      <w:tabs>
        <w:tab w:val="left" w:pos="0"/>
      </w:tabs>
      <w:spacing w:line="240" w:lineRule="auto"/>
      <w:jc w:val="left"/>
    </w:pPr>
    <w:rPr>
      <w:rFonts w:ascii="仿宋_GB2312" w:hAnsi="仿宋_GB2312" w:eastAsia="仿宋_GB2312"/>
      <w:sz w:val="30"/>
      <w:szCs w:val="28"/>
    </w:rPr>
  </w:style>
  <w:style w:type="paragraph" w:customStyle="1" w:styleId="312">
    <w:name w:val="封面标题"/>
    <w:qFormat/>
    <w:uiPriority w:val="0"/>
    <w:pPr>
      <w:spacing w:before="166" w:after="166"/>
      <w:ind w:firstLine="402"/>
      <w:jc w:val="center"/>
    </w:pPr>
    <w:rPr>
      <w:rFonts w:ascii="Arial" w:hAnsi="Arial" w:eastAsia="黑体" w:cs="Times New Roman"/>
      <w:b/>
      <w:kern w:val="24"/>
      <w:sz w:val="52"/>
      <w:szCs w:val="24"/>
      <w:lang w:val="en-US" w:eastAsia="zh-CN" w:bidi="ar-SA"/>
    </w:rPr>
  </w:style>
  <w:style w:type="paragraph" w:customStyle="1" w:styleId="313">
    <w:name w:val="!正文"/>
    <w:basedOn w:val="1"/>
    <w:qFormat/>
    <w:uiPriority w:val="0"/>
    <w:pPr>
      <w:spacing w:line="360" w:lineRule="auto"/>
      <w:ind w:firstLine="480" w:firstLineChars="200"/>
    </w:pPr>
    <w:rPr>
      <w:rFonts w:ascii="Calibri" w:hAnsi="Calibri"/>
      <w:sz w:val="24"/>
      <w:szCs w:val="30"/>
    </w:rPr>
  </w:style>
  <w:style w:type="paragraph" w:customStyle="1" w:styleId="314">
    <w:name w:val="xl12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cs="宋体"/>
      <w:b/>
      <w:bCs/>
      <w:kern w:val="0"/>
      <w:sz w:val="20"/>
    </w:rPr>
  </w:style>
  <w:style w:type="paragraph" w:customStyle="1" w:styleId="315">
    <w:name w:val="xl97"/>
    <w:basedOn w:val="1"/>
    <w:qFormat/>
    <w:uiPriority w:val="0"/>
    <w:pPr>
      <w:widowControl/>
      <w:spacing w:before="100" w:beforeAutospacing="1" w:after="100" w:afterAutospacing="1"/>
      <w:jc w:val="center"/>
    </w:pPr>
    <w:rPr>
      <w:rFonts w:ascii="宋体" w:cs="宋体"/>
      <w:color w:val="000000"/>
      <w:kern w:val="0"/>
      <w:sz w:val="16"/>
      <w:szCs w:val="16"/>
    </w:rPr>
  </w:style>
  <w:style w:type="paragraph" w:customStyle="1" w:styleId="31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kern w:val="0"/>
      <w:sz w:val="16"/>
      <w:szCs w:val="16"/>
    </w:rPr>
  </w:style>
  <w:style w:type="paragraph" w:customStyle="1" w:styleId="317">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cs="宋体"/>
      <w:kern w:val="0"/>
      <w:sz w:val="24"/>
      <w:szCs w:val="24"/>
    </w:rPr>
  </w:style>
  <w:style w:type="paragraph" w:customStyle="1" w:styleId="318">
    <w:name w:val="标题 11"/>
    <w:next w:val="255"/>
    <w:qFormat/>
    <w:uiPriority w:val="0"/>
    <w:pPr>
      <w:keepNext/>
      <w:keepLines/>
      <w:widowControl w:val="0"/>
      <w:numPr>
        <w:ilvl w:val="0"/>
        <w:numId w:val="4"/>
      </w:numPr>
      <w:tabs>
        <w:tab w:val="left" w:pos="0"/>
      </w:tabs>
      <w:spacing w:before="340" w:after="330" w:line="576" w:lineRule="auto"/>
      <w:jc w:val="both"/>
      <w:outlineLvl w:val="0"/>
    </w:pPr>
    <w:rPr>
      <w:rFonts w:hint="eastAsia" w:ascii="Times New Roman" w:hAnsi="Times New Roman" w:eastAsia="黑体" w:cs="Times New Roman"/>
      <w:b/>
      <w:kern w:val="36"/>
      <w:sz w:val="36"/>
      <w:lang w:val="en-US" w:eastAsia="zh-CN" w:bidi="ar-SA"/>
    </w:rPr>
  </w:style>
  <w:style w:type="paragraph" w:customStyle="1" w:styleId="319">
    <w:name w:val="xl1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color w:val="000000"/>
      <w:kern w:val="0"/>
      <w:sz w:val="20"/>
    </w:rPr>
  </w:style>
  <w:style w:type="paragraph" w:customStyle="1" w:styleId="320">
    <w:name w:val="xl7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cs="宋体"/>
      <w:kern w:val="0"/>
      <w:sz w:val="20"/>
    </w:rPr>
  </w:style>
  <w:style w:type="paragraph" w:customStyle="1" w:styleId="321">
    <w:name w:val="xl117"/>
    <w:basedOn w:val="1"/>
    <w:qFormat/>
    <w:uiPriority w:val="0"/>
    <w:pPr>
      <w:widowControl/>
      <w:pBdr>
        <w:top w:val="single" w:color="auto" w:sz="4" w:space="0"/>
      </w:pBdr>
      <w:spacing w:before="100" w:beforeAutospacing="1" w:after="100" w:afterAutospacing="1"/>
      <w:jc w:val="center"/>
      <w:textAlignment w:val="center"/>
    </w:pPr>
    <w:rPr>
      <w:rFonts w:ascii="宋体" w:cs="宋体"/>
      <w:b/>
      <w:bCs/>
      <w:kern w:val="0"/>
      <w:sz w:val="20"/>
    </w:rPr>
  </w:style>
  <w:style w:type="paragraph" w:customStyle="1" w:styleId="322">
    <w:name w:val="xl13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rPr>
  </w:style>
  <w:style w:type="table" w:customStyle="1" w:styleId="323">
    <w:name w:val="Table Normal"/>
    <w:unhideWhenUsed/>
    <w:qFormat/>
    <w:uiPriority w:val="2"/>
    <w:tblPr>
      <w:tblCellMar>
        <w:top w:w="0" w:type="dxa"/>
        <w:left w:w="0" w:type="dxa"/>
        <w:bottom w:w="0" w:type="dxa"/>
        <w:right w:w="0" w:type="dxa"/>
      </w:tblCellMar>
    </w:tblPr>
  </w:style>
  <w:style w:type="paragraph" w:customStyle="1" w:styleId="324">
    <w:name w:val="正文首行缩进（深信服）"/>
    <w:basedOn w:val="1"/>
    <w:qFormat/>
    <w:uiPriority w:val="0"/>
    <w:pPr>
      <w:widowControl/>
      <w:adjustRightInd w:val="0"/>
      <w:snapToGrid w:val="0"/>
      <w:spacing w:after="50" w:line="360" w:lineRule="auto"/>
      <w:ind w:firstLine="200" w:firstLineChars="200"/>
      <w:jc w:val="left"/>
    </w:pPr>
    <w:rPr>
      <w:rFonts w:ascii="仿宋" w:hAnsi="仿宋" w:eastAsia="仿宋"/>
      <w:kern w:val="0"/>
      <w:sz w:val="28"/>
      <w:szCs w:val="28"/>
    </w:rPr>
  </w:style>
  <w:style w:type="paragraph" w:customStyle="1" w:styleId="325">
    <w:name w:val="Revision"/>
    <w:hidden/>
    <w:unhideWhenUsed/>
    <w:uiPriority w:val="99"/>
    <w:rPr>
      <w:rFonts w:ascii="Times New Roman" w:hAnsi="Times New Roman" w:eastAsia="宋体" w:cs="Times New Roman"/>
      <w:kern w:val="2"/>
      <w:sz w:val="21"/>
      <w:lang w:val="en-US" w:eastAsia="zh-CN" w:bidi="ar-SA"/>
    </w:rPr>
  </w:style>
  <w:style w:type="paragraph" w:customStyle="1" w:styleId="326">
    <w:name w:val="Char Char Char Char Char Char Char1 Char"/>
    <w:basedOn w:val="1"/>
    <w:qFormat/>
    <w:uiPriority w:val="0"/>
    <w:rPr>
      <w:rFonts w:ascii="Arial" w:hAnsi="Arial" w:eastAsia="宋体" w:cs="Arial"/>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45AC7-CED7-422D-8CDB-BF30BE6DD23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1561</Words>
  <Characters>8900</Characters>
  <Lines>74</Lines>
  <Paragraphs>20</Paragraphs>
  <TotalTime>42</TotalTime>
  <ScaleCrop>false</ScaleCrop>
  <LinksUpToDate>false</LinksUpToDate>
  <CharactersWithSpaces>10441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2023-07-19T01:18:00Z</dcterms:created>
  <dc:creator>yang zhiyong</dc:creator>
  <cp:lastModifiedBy>WPS_1625468093</cp:lastModifiedBy>
  <dcterms:modified xsi:type="dcterms:W3CDTF">2023-11-07T08:08:09Z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F162D12644A44A0B9462A90A9405AFE5_12</vt:lpwstr>
  </property>
</Properties>
</file>